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32" w:rsidRDefault="00EA114F" w:rsidP="00C75557">
      <w:pPr>
        <w:pStyle w:val="Piedepgina"/>
        <w:ind w:left="2268"/>
        <w:rPr>
          <w:rFonts w:ascii="Arial Narrow" w:hAnsi="Arial Narrow"/>
          <w:noProof/>
          <w:sz w:val="26"/>
          <w:szCs w:val="26"/>
          <w:u w:val="single"/>
          <w:lang w:val="es-ES"/>
        </w:rPr>
      </w:pPr>
      <w:r w:rsidRPr="00EA114F">
        <w:rPr>
          <w:rFonts w:ascii="Arial Narrow" w:hAnsi="Arial Narrow"/>
          <w:b/>
          <w:noProof/>
          <w:color w:val="000000" w:themeColor="text1"/>
          <w:sz w:val="48"/>
          <w:szCs w:val="4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pt;margin-top:5pt;width:63pt;height:49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uUtQIAALw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" filled="f" stroked="f">
            <v:textbox style="layout-flow:vertical;mso-layout-flow-alt:bottom-to-top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</w:t>
                  </w:r>
                  <w:r w:rsidR="00622D32">
                    <w:rPr>
                      <w:color w:val="999999"/>
                    </w:rPr>
                    <w:t xml:space="preserve">  Comunicado de Prensa</w:t>
                  </w:r>
                  <w:r>
                    <w:rPr>
                      <w:color w:val="999999"/>
                    </w:rPr>
                    <w:t xml:space="preserve">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</w:p>
    <w:p w:rsidR="00622D32" w:rsidRPr="00622D32" w:rsidRDefault="00622D32" w:rsidP="00C75557">
      <w:pPr>
        <w:pStyle w:val="Piedepgina"/>
        <w:ind w:left="2268"/>
        <w:rPr>
          <w:rFonts w:ascii="Arial Narrow" w:hAnsi="Arial Narrow"/>
          <w:noProof/>
          <w:sz w:val="26"/>
          <w:szCs w:val="26"/>
          <w:u w:val="single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8"/>
          <w:szCs w:val="28"/>
          <w:u w:val="single"/>
          <w:lang w:val="es-ES"/>
        </w:rPr>
      </w:pPr>
      <w:r w:rsidRPr="00ED18FB">
        <w:rPr>
          <w:rFonts w:ascii="Arial Narrow" w:hAnsi="Arial Narrow"/>
          <w:b/>
          <w:noProof/>
          <w:color w:val="000000" w:themeColor="text1"/>
          <w:sz w:val="28"/>
          <w:szCs w:val="28"/>
          <w:u w:val="single"/>
          <w:lang w:val="es-ES"/>
        </w:rPr>
        <w:t xml:space="preserve">Primera toma de contacto de la ministra con los representantes sindicales </w:t>
      </w: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ED18FB" w:rsidRP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2"/>
          <w:szCs w:val="2"/>
          <w:u w:val="single"/>
          <w:lang w:val="es-ES"/>
        </w:rPr>
      </w:pPr>
    </w:p>
    <w:p w:rsidR="00AB73F4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48"/>
          <w:szCs w:val="48"/>
          <w:lang w:val="es-ES"/>
        </w:rPr>
      </w:pPr>
      <w:r w:rsidRPr="00ED18FB">
        <w:rPr>
          <w:rFonts w:ascii="Arial Narrow" w:hAnsi="Arial Narrow"/>
          <w:b/>
          <w:noProof/>
          <w:color w:val="000000" w:themeColor="text1"/>
          <w:sz w:val="48"/>
          <w:szCs w:val="48"/>
          <w:lang w:val="es-ES"/>
        </w:rPr>
        <w:t>Meritxell Batet</w:t>
      </w:r>
      <w:r>
        <w:rPr>
          <w:rFonts w:ascii="Arial Narrow" w:hAnsi="Arial Narrow"/>
          <w:b/>
          <w:noProof/>
          <w:color w:val="000000" w:themeColor="text1"/>
          <w:sz w:val="48"/>
          <w:szCs w:val="48"/>
          <w:lang w:val="es-ES"/>
        </w:rPr>
        <w:t xml:space="preserve"> traslada a los sindicatos de la Administración su objetivo de recuperar el prestigio del sector público</w:t>
      </w: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b/>
          <w:noProof/>
          <w:color w:val="000000" w:themeColor="text1"/>
          <w:sz w:val="48"/>
          <w:szCs w:val="48"/>
          <w:lang w:val="es-ES"/>
        </w:rPr>
      </w:pPr>
    </w:p>
    <w:p w:rsidR="00ED18FB" w:rsidRDefault="00ED18FB" w:rsidP="00ED18FB">
      <w:pPr>
        <w:pStyle w:val="Piedepgina"/>
        <w:ind w:left="2268"/>
        <w:jc w:val="both"/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</w:pPr>
      <w:r w:rsidRPr="00ED18FB">
        <w:rPr>
          <w:rFonts w:ascii="Arial Narrow" w:hAnsi="Arial Narrow"/>
          <w:b/>
          <w:noProof/>
          <w:color w:val="000000" w:themeColor="text1"/>
          <w:sz w:val="28"/>
          <w:szCs w:val="28"/>
          <w:lang w:val="es-ES"/>
        </w:rPr>
        <w:t>16 de julio de 2018</w:t>
      </w:r>
      <w:r w:rsidRPr="00ED18FB">
        <w:rPr>
          <w:rFonts w:ascii="Arial Narrow" w:hAnsi="Arial Narrow"/>
          <w:noProof/>
          <w:color w:val="000000" w:themeColor="text1"/>
          <w:sz w:val="28"/>
          <w:szCs w:val="28"/>
          <w:lang w:val="es-ES"/>
        </w:rPr>
        <w:t>.- La ministra</w:t>
      </w:r>
      <w:r>
        <w:rPr>
          <w:rFonts w:ascii="Arial Narrow" w:hAnsi="Arial Narrow"/>
          <w:noProof/>
          <w:color w:val="000000" w:themeColor="text1"/>
          <w:sz w:val="28"/>
          <w:szCs w:val="28"/>
          <w:lang w:val="es-ES"/>
        </w:rPr>
        <w:t xml:space="preserve"> de Política Territorial y Función Pública, Meritxell Batet, ha destacado hoy que se marca como objetivo, </w:t>
      </w:r>
      <w:r w:rsidRPr="00ED18FB"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 xml:space="preserve">“conseguir una Administración </w:t>
      </w:r>
      <w:r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>e</w:t>
      </w:r>
      <w:r w:rsidRPr="00ED18FB"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>ficaz, con los mejores servicios públicos, luchar por la profesionalidad de los empleados públicos</w:t>
      </w:r>
      <w:r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>, recuperando</w:t>
      </w:r>
      <w:r w:rsidRPr="00ED18FB"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 xml:space="preserve"> mejores condiciones de trabajo y garantiza</w:t>
      </w:r>
      <w:r w:rsidR="00F67A50"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>ndo</w:t>
      </w:r>
      <w:r w:rsidRPr="00ED18FB"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 xml:space="preserve"> una Administración pública eficaz y moderna</w:t>
      </w:r>
      <w:r w:rsidR="002359BC">
        <w:rPr>
          <w:rFonts w:ascii="Arial Narrow" w:hAnsi="Arial Narrow"/>
          <w:i/>
          <w:noProof/>
          <w:color w:val="000000" w:themeColor="text1"/>
          <w:sz w:val="28"/>
          <w:szCs w:val="28"/>
          <w:lang w:val="es-ES"/>
        </w:rPr>
        <w:t>”.</w:t>
      </w:r>
    </w:p>
    <w:p w:rsidR="002359BC" w:rsidRDefault="002359BC" w:rsidP="00ED18FB">
      <w:pPr>
        <w:pStyle w:val="Piedepgina"/>
        <w:ind w:left="2268"/>
        <w:jc w:val="both"/>
        <w:rPr>
          <w:i/>
          <w:sz w:val="28"/>
          <w:szCs w:val="28"/>
        </w:rPr>
      </w:pPr>
    </w:p>
    <w:p w:rsidR="002359BC" w:rsidRDefault="002359BC" w:rsidP="00ED18FB">
      <w:pPr>
        <w:pStyle w:val="Piedepgina"/>
        <w:ind w:left="2268"/>
        <w:jc w:val="both"/>
        <w:rPr>
          <w:rFonts w:ascii="Arial Narrow" w:hAnsi="Arial Narrow"/>
          <w:sz w:val="28"/>
          <w:szCs w:val="28"/>
        </w:rPr>
      </w:pPr>
      <w:proofErr w:type="spellStart"/>
      <w:r w:rsidRPr="002359BC">
        <w:rPr>
          <w:rFonts w:ascii="Arial Narrow" w:hAnsi="Arial Narrow"/>
          <w:sz w:val="28"/>
          <w:szCs w:val="28"/>
        </w:rPr>
        <w:t>Meritxell</w:t>
      </w:r>
      <w:proofErr w:type="spellEnd"/>
      <w:r w:rsidRPr="002359B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359BC">
        <w:rPr>
          <w:rFonts w:ascii="Arial Narrow" w:hAnsi="Arial Narrow"/>
          <w:sz w:val="28"/>
          <w:szCs w:val="28"/>
        </w:rPr>
        <w:t>Batet</w:t>
      </w:r>
      <w:proofErr w:type="spellEnd"/>
      <w:r w:rsidRPr="002359BC">
        <w:rPr>
          <w:rFonts w:ascii="Arial Narrow" w:hAnsi="Arial Narrow"/>
          <w:sz w:val="28"/>
          <w:szCs w:val="28"/>
        </w:rPr>
        <w:t>, que ha presidido su primera reunión con los representantes de los sindicatos más representativos de las Administraciones Públicas</w:t>
      </w:r>
      <w:r>
        <w:rPr>
          <w:rFonts w:ascii="Arial Narrow" w:hAnsi="Arial Narrow"/>
          <w:sz w:val="28"/>
          <w:szCs w:val="28"/>
        </w:rPr>
        <w:t xml:space="preserve"> y firmantes de los acuerdos de marzo de 2018, CCOO, UGT y CSIF, ha explicado en rueda de prensa los asuntos más importantes abordados en la reunión:</w:t>
      </w:r>
    </w:p>
    <w:p w:rsidR="002359BC" w:rsidRDefault="002359BC" w:rsidP="00ED18FB">
      <w:pPr>
        <w:pStyle w:val="Piedepgina"/>
        <w:ind w:left="2268"/>
        <w:jc w:val="both"/>
        <w:rPr>
          <w:rFonts w:ascii="Arial Narrow" w:hAnsi="Arial Narrow"/>
          <w:sz w:val="28"/>
          <w:szCs w:val="28"/>
        </w:rPr>
      </w:pPr>
    </w:p>
    <w:p w:rsidR="002359BC" w:rsidRPr="002359BC" w:rsidRDefault="002359BC" w:rsidP="002359BC">
      <w:pPr>
        <w:pStyle w:val="Piedepgina"/>
        <w:numPr>
          <w:ilvl w:val="0"/>
          <w:numId w:val="6"/>
        </w:numPr>
        <w:jc w:val="both"/>
        <w:rPr>
          <w:rFonts w:ascii="Arial Narrow" w:hAnsi="Arial Narrow"/>
          <w:i/>
          <w:sz w:val="28"/>
          <w:szCs w:val="28"/>
        </w:rPr>
      </w:pPr>
      <w:r w:rsidRPr="00F67A50">
        <w:rPr>
          <w:rFonts w:ascii="Arial Narrow" w:hAnsi="Arial Narrow"/>
          <w:b/>
          <w:sz w:val="28"/>
          <w:szCs w:val="28"/>
        </w:rPr>
        <w:t xml:space="preserve">El Gobierno asume los acuerdos alcanzados </w:t>
      </w:r>
      <w:r w:rsidR="00F67A50" w:rsidRPr="00F67A50">
        <w:rPr>
          <w:rFonts w:ascii="Arial Narrow" w:hAnsi="Arial Narrow"/>
          <w:b/>
          <w:sz w:val="28"/>
          <w:szCs w:val="28"/>
        </w:rPr>
        <w:t>en marzo de 2018</w:t>
      </w:r>
      <w:r>
        <w:rPr>
          <w:rFonts w:ascii="Arial Narrow" w:hAnsi="Arial Narrow"/>
          <w:sz w:val="28"/>
          <w:szCs w:val="28"/>
        </w:rPr>
        <w:t xml:space="preserve"> </w:t>
      </w:r>
      <w:r w:rsidR="00F67A50">
        <w:rPr>
          <w:rFonts w:ascii="Arial Narrow" w:hAnsi="Arial Narrow"/>
          <w:sz w:val="28"/>
          <w:szCs w:val="28"/>
        </w:rPr>
        <w:t>con</w:t>
      </w:r>
      <w:r>
        <w:rPr>
          <w:rFonts w:ascii="Arial Narrow" w:hAnsi="Arial Narrow"/>
          <w:sz w:val="28"/>
          <w:szCs w:val="28"/>
        </w:rPr>
        <w:t xml:space="preserve"> los sindicatos. En materia de retribuciones, representan una subida para este año del 1,50% más el 0,25% adicional desde el mes de julio, por el objetivo del PIB alcanzado</w:t>
      </w:r>
      <w:r w:rsidR="00F67A50">
        <w:rPr>
          <w:rFonts w:ascii="Arial Narrow" w:hAnsi="Arial Narrow"/>
          <w:sz w:val="28"/>
          <w:szCs w:val="28"/>
        </w:rPr>
        <w:t xml:space="preserve">. </w:t>
      </w:r>
      <w:r w:rsidRPr="002359BC">
        <w:rPr>
          <w:rFonts w:ascii="Arial Narrow" w:hAnsi="Arial Narrow"/>
          <w:b/>
          <w:i/>
          <w:sz w:val="28"/>
          <w:szCs w:val="28"/>
        </w:rPr>
        <w:t>“Hoy mismo</w:t>
      </w:r>
      <w:r w:rsidRPr="002359BC">
        <w:rPr>
          <w:rFonts w:ascii="Arial Narrow" w:hAnsi="Arial Narrow"/>
          <w:b/>
          <w:sz w:val="28"/>
          <w:szCs w:val="28"/>
        </w:rPr>
        <w:t xml:space="preserve"> </w:t>
      </w:r>
      <w:r w:rsidRPr="00CD05B6">
        <w:rPr>
          <w:rFonts w:ascii="Arial Narrow" w:hAnsi="Arial Narrow"/>
          <w:sz w:val="28"/>
          <w:szCs w:val="28"/>
        </w:rPr>
        <w:t>-ha indicado la ministra-</w:t>
      </w:r>
      <w:r w:rsidRPr="002359BC">
        <w:rPr>
          <w:rFonts w:ascii="Arial Narrow" w:hAnsi="Arial Narrow"/>
          <w:b/>
          <w:sz w:val="28"/>
          <w:szCs w:val="28"/>
        </w:rPr>
        <w:t xml:space="preserve"> </w:t>
      </w:r>
      <w:r w:rsidRPr="002359BC">
        <w:rPr>
          <w:rFonts w:ascii="Arial Narrow" w:hAnsi="Arial Narrow"/>
          <w:b/>
          <w:i/>
          <w:sz w:val="28"/>
          <w:szCs w:val="28"/>
        </w:rPr>
        <w:t>los secretarios de Estado de Función Pública y Presupuestos firmarán las instrucciones para hacer efectivo el pago de los atrasos de forma inmediata</w:t>
      </w:r>
      <w:r w:rsidR="00F67A50">
        <w:rPr>
          <w:rFonts w:ascii="Arial Narrow" w:hAnsi="Arial Narrow"/>
          <w:b/>
          <w:i/>
          <w:sz w:val="28"/>
          <w:szCs w:val="28"/>
        </w:rPr>
        <w:t xml:space="preserve"> a los empleados públicos</w:t>
      </w:r>
      <w:r w:rsidRPr="002359BC">
        <w:rPr>
          <w:rFonts w:ascii="Arial Narrow" w:hAnsi="Arial Narrow"/>
          <w:b/>
          <w:i/>
          <w:sz w:val="28"/>
          <w:szCs w:val="28"/>
        </w:rPr>
        <w:t>”</w:t>
      </w:r>
    </w:p>
    <w:p w:rsidR="002359BC" w:rsidRPr="002359BC" w:rsidRDefault="002359BC" w:rsidP="002359BC">
      <w:pPr>
        <w:pStyle w:val="Piedepgina"/>
        <w:ind w:left="2628"/>
        <w:jc w:val="both"/>
        <w:rPr>
          <w:rFonts w:ascii="Arial Narrow" w:hAnsi="Arial Narrow"/>
          <w:i/>
          <w:sz w:val="28"/>
          <w:szCs w:val="28"/>
        </w:rPr>
      </w:pPr>
    </w:p>
    <w:p w:rsidR="002359BC" w:rsidRPr="00F67A50" w:rsidRDefault="00101FC5" w:rsidP="002359BC">
      <w:pPr>
        <w:pStyle w:val="Piedepgina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F67A50">
        <w:rPr>
          <w:rFonts w:ascii="Arial Narrow" w:hAnsi="Arial Narrow"/>
          <w:b/>
          <w:sz w:val="28"/>
          <w:szCs w:val="28"/>
        </w:rPr>
        <w:t>Un 0,20% adicional de la masa salarial</w:t>
      </w:r>
      <w:r w:rsidRPr="00F67A50">
        <w:rPr>
          <w:rFonts w:ascii="Arial Narrow" w:hAnsi="Arial Narrow"/>
          <w:sz w:val="28"/>
          <w:szCs w:val="28"/>
        </w:rPr>
        <w:t>, para mejora del sistema retributivo, se podrá cerrar en otoño.</w:t>
      </w:r>
    </w:p>
    <w:p w:rsidR="00101FC5" w:rsidRPr="00F67A50" w:rsidRDefault="00101FC5" w:rsidP="00101FC5">
      <w:pPr>
        <w:pStyle w:val="Prrafodelista"/>
        <w:rPr>
          <w:rFonts w:ascii="Arial Narrow" w:hAnsi="Arial Narrow"/>
          <w:sz w:val="28"/>
          <w:szCs w:val="28"/>
        </w:rPr>
      </w:pPr>
    </w:p>
    <w:p w:rsidR="00101FC5" w:rsidRPr="00F67A50" w:rsidRDefault="00101FC5" w:rsidP="002359BC">
      <w:pPr>
        <w:pStyle w:val="Piedepgina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F67A50">
        <w:rPr>
          <w:rFonts w:ascii="Arial Narrow" w:hAnsi="Arial Narrow"/>
          <w:b/>
          <w:sz w:val="28"/>
          <w:szCs w:val="28"/>
          <w:lang w:val="es-ES"/>
        </w:rPr>
        <w:t>La Oferta de Empleo Pública es nuestra intención aprobarla el día 27 de julio</w:t>
      </w:r>
      <w:r w:rsidRPr="00F67A50">
        <w:rPr>
          <w:rFonts w:ascii="Arial Narrow" w:hAnsi="Arial Narrow"/>
          <w:sz w:val="28"/>
          <w:szCs w:val="28"/>
          <w:lang w:val="es-ES"/>
        </w:rPr>
        <w:t xml:space="preserve">, </w:t>
      </w:r>
      <w:r w:rsidR="00393548">
        <w:rPr>
          <w:rFonts w:ascii="Arial Narrow" w:hAnsi="Arial Narrow"/>
          <w:sz w:val="28"/>
          <w:szCs w:val="28"/>
          <w:lang w:val="es-ES"/>
        </w:rPr>
        <w:t>que dará cumplimiento a lo establecido en la Ley de PGE 2018 y con el objetivo de rejuvenecer las plantillas y recuperar empleo público.</w:t>
      </w:r>
    </w:p>
    <w:p w:rsidR="00101FC5" w:rsidRDefault="00101FC5" w:rsidP="00101FC5">
      <w:pPr>
        <w:pStyle w:val="Prrafodelista"/>
        <w:rPr>
          <w:rFonts w:ascii="Arial Narrow" w:hAnsi="Arial Narrow"/>
          <w:i/>
          <w:sz w:val="28"/>
          <w:szCs w:val="28"/>
        </w:rPr>
      </w:pPr>
    </w:p>
    <w:p w:rsidR="00101FC5" w:rsidRPr="00101FC5" w:rsidRDefault="00101FC5" w:rsidP="002359BC">
      <w:pPr>
        <w:pStyle w:val="Piedepgina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101FC5">
        <w:rPr>
          <w:rFonts w:ascii="Arial Narrow" w:hAnsi="Arial Narrow"/>
          <w:sz w:val="28"/>
          <w:szCs w:val="28"/>
          <w:lang w:val="es-ES"/>
        </w:rPr>
        <w:t xml:space="preserve">La Oferta de Empleo Público </w:t>
      </w:r>
      <w:r w:rsidRPr="00F67A50">
        <w:rPr>
          <w:rFonts w:ascii="Arial Narrow" w:hAnsi="Arial Narrow"/>
          <w:b/>
          <w:sz w:val="28"/>
          <w:szCs w:val="28"/>
          <w:lang w:val="es-ES"/>
        </w:rPr>
        <w:t>también recogerá los acuerdos para estabilización en el empleo recogidos en los PGE de 2017</w:t>
      </w:r>
      <w:r w:rsidRPr="00101FC5">
        <w:rPr>
          <w:rFonts w:ascii="Arial Narrow" w:hAnsi="Arial Narrow"/>
          <w:sz w:val="28"/>
          <w:szCs w:val="28"/>
          <w:lang w:val="es-ES"/>
        </w:rPr>
        <w:t xml:space="preserve">. Y recogerán </w:t>
      </w:r>
      <w:r w:rsidR="00F67A50">
        <w:rPr>
          <w:rFonts w:ascii="Arial Narrow" w:hAnsi="Arial Narrow"/>
          <w:sz w:val="28"/>
          <w:szCs w:val="28"/>
          <w:lang w:val="es-ES"/>
        </w:rPr>
        <w:t xml:space="preserve">también </w:t>
      </w:r>
      <w:r w:rsidRPr="00101FC5">
        <w:rPr>
          <w:rFonts w:ascii="Arial Narrow" w:hAnsi="Arial Narrow"/>
          <w:sz w:val="28"/>
          <w:szCs w:val="28"/>
          <w:lang w:val="es-ES"/>
        </w:rPr>
        <w:t xml:space="preserve">un compromiso, en los próximos seis meses, para los acuerdos de estabilización en el empleo </w:t>
      </w:r>
      <w:r w:rsidR="00F67A50">
        <w:rPr>
          <w:rFonts w:ascii="Arial Narrow" w:hAnsi="Arial Narrow"/>
          <w:sz w:val="28"/>
          <w:szCs w:val="28"/>
          <w:lang w:val="es-ES"/>
        </w:rPr>
        <w:t>de</w:t>
      </w:r>
      <w:r w:rsidRPr="00101FC5">
        <w:rPr>
          <w:rFonts w:ascii="Arial Narrow" w:hAnsi="Arial Narrow"/>
          <w:sz w:val="28"/>
          <w:szCs w:val="28"/>
          <w:lang w:val="es-ES"/>
        </w:rPr>
        <w:t xml:space="preserve"> los PGE de 2018. Las convocatorias se realizarán después conjuntamente para los dos años.</w:t>
      </w:r>
    </w:p>
    <w:p w:rsidR="00101FC5" w:rsidRDefault="00101FC5" w:rsidP="002359BC">
      <w:pPr>
        <w:pStyle w:val="Piedepgina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F67A50">
        <w:rPr>
          <w:rFonts w:ascii="Arial Narrow" w:hAnsi="Arial Narrow"/>
          <w:b/>
          <w:sz w:val="28"/>
          <w:szCs w:val="28"/>
        </w:rPr>
        <w:lastRenderedPageBreak/>
        <w:t>La Mesa de Negociación de la Administración General del Estado se reunirá el 23 de julio</w:t>
      </w:r>
      <w:r w:rsidR="00F67A50">
        <w:rPr>
          <w:rFonts w:ascii="Arial Narrow" w:hAnsi="Arial Narrow"/>
          <w:sz w:val="28"/>
          <w:szCs w:val="28"/>
        </w:rPr>
        <w:t xml:space="preserve"> y hará efectivo el </w:t>
      </w:r>
      <w:r w:rsidR="00F67A50" w:rsidRPr="00F67A50">
        <w:rPr>
          <w:rFonts w:ascii="Arial Narrow" w:hAnsi="Arial Narrow"/>
          <w:b/>
          <w:sz w:val="28"/>
          <w:szCs w:val="28"/>
        </w:rPr>
        <w:t>acuerdo para que los empleados públicos cobren el 100% de su salario en caso de enfermeda</w:t>
      </w:r>
      <w:r w:rsidR="00F67A50">
        <w:rPr>
          <w:rFonts w:ascii="Arial Narrow" w:hAnsi="Arial Narrow"/>
          <w:sz w:val="28"/>
          <w:szCs w:val="28"/>
        </w:rPr>
        <w:t>d. El día 24, dicho acuerdo será trasladado a las CCAA. El Consejo de Ministros del día 27 aprobará el acuerdo, junto a la Oferta de Empleo Público para 2018.</w:t>
      </w:r>
    </w:p>
    <w:p w:rsidR="00F67A50" w:rsidRDefault="00F67A50" w:rsidP="00F67A50">
      <w:pPr>
        <w:pStyle w:val="Prrafodelista"/>
        <w:rPr>
          <w:rFonts w:ascii="Arial Narrow" w:hAnsi="Arial Narrow"/>
          <w:sz w:val="28"/>
          <w:szCs w:val="28"/>
        </w:rPr>
      </w:pPr>
    </w:p>
    <w:p w:rsidR="00F67A50" w:rsidRPr="00F67A50" w:rsidRDefault="00F67A50" w:rsidP="00F67A50">
      <w:pPr>
        <w:pStyle w:val="Piedepgina"/>
        <w:ind w:left="2268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"/>
        </w:rPr>
        <w:t xml:space="preserve">La ministra ha mostrado su optimismo para pensar que </w:t>
      </w:r>
      <w:r w:rsidRPr="00F67A50">
        <w:rPr>
          <w:rFonts w:ascii="Arial Narrow" w:hAnsi="Arial Narrow"/>
          <w:i/>
          <w:sz w:val="28"/>
          <w:szCs w:val="28"/>
          <w:lang w:val="es-ES"/>
        </w:rPr>
        <w:t>“habrá futuros acuerdos, en la asignación del 0,20% de la masa salarial, en el permiso de paternidad o en el Real Decreto de acoso en el trabajo”</w:t>
      </w:r>
      <w:r>
        <w:rPr>
          <w:rFonts w:ascii="Arial Narrow" w:hAnsi="Arial Narrow"/>
          <w:sz w:val="28"/>
          <w:szCs w:val="28"/>
          <w:lang w:val="es-ES"/>
        </w:rPr>
        <w:t xml:space="preserve">. Asimismo, ha manifestado su intención de que en los próximos meses se reúnan todas las mesas de negociación, </w:t>
      </w:r>
      <w:r w:rsidRPr="00F67A50">
        <w:rPr>
          <w:rFonts w:ascii="Arial Narrow" w:hAnsi="Arial Narrow"/>
          <w:b/>
          <w:i/>
          <w:sz w:val="28"/>
          <w:szCs w:val="28"/>
          <w:lang w:val="es-ES"/>
        </w:rPr>
        <w:t>“el tiempo que tenemos de legislatura, queremos aprovecharlo al máximo para recuperar el prestigio del sector público”</w:t>
      </w:r>
      <w:r>
        <w:rPr>
          <w:rFonts w:ascii="Arial Narrow" w:hAnsi="Arial Narrow"/>
          <w:b/>
          <w:i/>
          <w:sz w:val="28"/>
          <w:szCs w:val="28"/>
          <w:lang w:val="es-ES"/>
        </w:rPr>
        <w:t>.</w:t>
      </w:r>
    </w:p>
    <w:p w:rsidR="002359BC" w:rsidRPr="002359BC" w:rsidRDefault="002359BC" w:rsidP="002359BC">
      <w:pPr>
        <w:pStyle w:val="Piedepgina"/>
        <w:jc w:val="both"/>
        <w:rPr>
          <w:rFonts w:ascii="Arial Narrow" w:hAnsi="Arial Narrow"/>
          <w:i/>
          <w:sz w:val="28"/>
          <w:szCs w:val="28"/>
        </w:rPr>
      </w:pPr>
    </w:p>
    <w:p w:rsidR="002359BC" w:rsidRPr="002359BC" w:rsidRDefault="002359BC" w:rsidP="002359BC">
      <w:pPr>
        <w:pStyle w:val="Piedepgina"/>
        <w:jc w:val="both"/>
        <w:rPr>
          <w:rFonts w:ascii="Arial Narrow" w:hAnsi="Arial Narrow"/>
          <w:i/>
          <w:sz w:val="28"/>
          <w:szCs w:val="28"/>
        </w:rPr>
      </w:pPr>
    </w:p>
    <w:p w:rsidR="00C75557" w:rsidRPr="00ED18FB" w:rsidRDefault="00C75557" w:rsidP="00932D78">
      <w:pPr>
        <w:pStyle w:val="Piedepgina"/>
        <w:ind w:left="2268"/>
        <w:rPr>
          <w:rFonts w:ascii="Arial Narrow" w:hAnsi="Arial Narrow"/>
          <w:noProof/>
          <w:sz w:val="2"/>
          <w:szCs w:val="2"/>
          <w:u w:val="single"/>
        </w:rPr>
      </w:pPr>
    </w:p>
    <w:sectPr w:rsidR="00C75557" w:rsidRPr="00ED18FB" w:rsidSect="00932D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133" w:bottom="1701" w:left="346" w:header="284" w:footer="0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B7" w:rsidRDefault="009528B7">
      <w:r>
        <w:separator/>
      </w:r>
    </w:p>
  </w:endnote>
  <w:endnote w:type="continuationSeparator" w:id="0">
    <w:p w:rsidR="009528B7" w:rsidRDefault="0095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EA114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B53B25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www.mptfp.gob.es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EA114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EA114F">
            <w:rPr>
              <w:sz w:val="20"/>
            </w:rPr>
            <w:fldChar w:fldCharType="separate"/>
          </w:r>
          <w:r w:rsidR="00CD05B6">
            <w:rPr>
              <w:noProof/>
              <w:sz w:val="20"/>
            </w:rPr>
            <w:t>2</w:t>
          </w:r>
          <w:r w:rsidR="00EA114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EA114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EA114F">
            <w:rPr>
              <w:sz w:val="20"/>
            </w:rPr>
            <w:fldChar w:fldCharType="separate"/>
          </w:r>
          <w:r w:rsidR="00CD05B6">
            <w:rPr>
              <w:noProof/>
              <w:sz w:val="20"/>
            </w:rPr>
            <w:t>2</w:t>
          </w:r>
          <w:r w:rsidR="00EA114F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ED53BC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EA114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EA114F">
            <w:rPr>
              <w:sz w:val="20"/>
            </w:rPr>
            <w:fldChar w:fldCharType="separate"/>
          </w:r>
          <w:r w:rsidR="00CD05B6">
            <w:rPr>
              <w:noProof/>
              <w:sz w:val="20"/>
            </w:rPr>
            <w:t>1</w:t>
          </w:r>
          <w:r w:rsidR="00EA114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EA114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EA114F">
            <w:rPr>
              <w:sz w:val="20"/>
            </w:rPr>
            <w:fldChar w:fldCharType="separate"/>
          </w:r>
          <w:r w:rsidR="00CD05B6">
            <w:rPr>
              <w:noProof/>
              <w:sz w:val="20"/>
            </w:rPr>
            <w:t>2</w:t>
          </w:r>
          <w:r w:rsidR="00EA114F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ED53BC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</w:t>
          </w:r>
          <w:r w:rsidR="00ED53BC">
            <w:rPr>
              <w:rFonts w:ascii="Arial Narrow" w:hAnsi="Arial Narrow"/>
              <w:b/>
              <w:szCs w:val="24"/>
            </w:rPr>
            <w:t xml:space="preserve">                </w:t>
          </w:r>
          <w:r>
            <w:rPr>
              <w:rFonts w:ascii="Arial Narrow" w:hAnsi="Arial Narrow"/>
              <w:b/>
              <w:szCs w:val="24"/>
            </w:rPr>
            <w:t xml:space="preserve"> </w:t>
          </w:r>
          <w:hyperlink w:history="1">
            <w:r w:rsidR="00ED53BC"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www.mptfp.gob.es </w:t>
            </w:r>
          </w:hyperlink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ED53B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B7" w:rsidRDefault="009528B7">
      <w:r>
        <w:separator/>
      </w:r>
    </w:p>
  </w:footnote>
  <w:footnote w:type="continuationSeparator" w:id="0">
    <w:p w:rsidR="009528B7" w:rsidRDefault="0095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93258815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9971DB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EA9"/>
    <w:multiLevelType w:val="hybridMultilevel"/>
    <w:tmpl w:val="3E84A650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24992824"/>
    <w:multiLevelType w:val="hybridMultilevel"/>
    <w:tmpl w:val="6C5EE8CC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5D277059"/>
    <w:multiLevelType w:val="hybridMultilevel"/>
    <w:tmpl w:val="913E9C16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5E4305B3"/>
    <w:multiLevelType w:val="hybridMultilevel"/>
    <w:tmpl w:val="C5D63462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739B6540"/>
    <w:multiLevelType w:val="hybridMultilevel"/>
    <w:tmpl w:val="357E95F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787C752F"/>
    <w:multiLevelType w:val="hybridMultilevel"/>
    <w:tmpl w:val="CC0693D0"/>
    <w:lvl w:ilvl="0" w:tplc="AC608DB4">
      <w:start w:val="16"/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67C7E"/>
    <w:rsid w:val="00071994"/>
    <w:rsid w:val="000A7BEA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101FC5"/>
    <w:rsid w:val="00103EB4"/>
    <w:rsid w:val="00110187"/>
    <w:rsid w:val="001200F1"/>
    <w:rsid w:val="00120E2A"/>
    <w:rsid w:val="00134A12"/>
    <w:rsid w:val="00145927"/>
    <w:rsid w:val="00153EFF"/>
    <w:rsid w:val="00161367"/>
    <w:rsid w:val="001630B7"/>
    <w:rsid w:val="00164DA4"/>
    <w:rsid w:val="00170DB9"/>
    <w:rsid w:val="001778F0"/>
    <w:rsid w:val="0019632B"/>
    <w:rsid w:val="001964EB"/>
    <w:rsid w:val="001A1444"/>
    <w:rsid w:val="001A33CB"/>
    <w:rsid w:val="001A4BA9"/>
    <w:rsid w:val="001A7BD8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765D"/>
    <w:rsid w:val="00201309"/>
    <w:rsid w:val="002024A4"/>
    <w:rsid w:val="00207791"/>
    <w:rsid w:val="0021516E"/>
    <w:rsid w:val="00223E48"/>
    <w:rsid w:val="00224944"/>
    <w:rsid w:val="002359BC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7522F"/>
    <w:rsid w:val="00281B2E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42A1"/>
    <w:rsid w:val="002F5D46"/>
    <w:rsid w:val="003020F4"/>
    <w:rsid w:val="00314359"/>
    <w:rsid w:val="00315D16"/>
    <w:rsid w:val="00322582"/>
    <w:rsid w:val="00330566"/>
    <w:rsid w:val="00353F88"/>
    <w:rsid w:val="003708A9"/>
    <w:rsid w:val="00374331"/>
    <w:rsid w:val="00391C0A"/>
    <w:rsid w:val="00393548"/>
    <w:rsid w:val="003A0090"/>
    <w:rsid w:val="003A06DC"/>
    <w:rsid w:val="003C3F4F"/>
    <w:rsid w:val="003D266E"/>
    <w:rsid w:val="003E1C05"/>
    <w:rsid w:val="003E1CD6"/>
    <w:rsid w:val="003F6CF4"/>
    <w:rsid w:val="004016BA"/>
    <w:rsid w:val="004116F6"/>
    <w:rsid w:val="00412903"/>
    <w:rsid w:val="0041731A"/>
    <w:rsid w:val="00420E22"/>
    <w:rsid w:val="00421BEA"/>
    <w:rsid w:val="0042328A"/>
    <w:rsid w:val="00440100"/>
    <w:rsid w:val="0044337F"/>
    <w:rsid w:val="004656EE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F65C9"/>
    <w:rsid w:val="00500E8F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2D32"/>
    <w:rsid w:val="00624D9C"/>
    <w:rsid w:val="00637899"/>
    <w:rsid w:val="00641F9A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F0529"/>
    <w:rsid w:val="0070663F"/>
    <w:rsid w:val="00722701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7109"/>
    <w:rsid w:val="00774547"/>
    <w:rsid w:val="00777DAA"/>
    <w:rsid w:val="007807F8"/>
    <w:rsid w:val="00795D69"/>
    <w:rsid w:val="007A5AFB"/>
    <w:rsid w:val="007B0F92"/>
    <w:rsid w:val="007D35ED"/>
    <w:rsid w:val="007D7FB0"/>
    <w:rsid w:val="007E253A"/>
    <w:rsid w:val="007F1FC8"/>
    <w:rsid w:val="007F3868"/>
    <w:rsid w:val="00806593"/>
    <w:rsid w:val="00810BF1"/>
    <w:rsid w:val="00813F4A"/>
    <w:rsid w:val="00814F1E"/>
    <w:rsid w:val="00815408"/>
    <w:rsid w:val="00817FFE"/>
    <w:rsid w:val="00820F6F"/>
    <w:rsid w:val="00837699"/>
    <w:rsid w:val="00846B86"/>
    <w:rsid w:val="0085155F"/>
    <w:rsid w:val="00861B9B"/>
    <w:rsid w:val="00870FC2"/>
    <w:rsid w:val="00873C47"/>
    <w:rsid w:val="008833B2"/>
    <w:rsid w:val="0089127E"/>
    <w:rsid w:val="008A5360"/>
    <w:rsid w:val="008A565C"/>
    <w:rsid w:val="008A68DE"/>
    <w:rsid w:val="008B4634"/>
    <w:rsid w:val="008B4788"/>
    <w:rsid w:val="008B6A31"/>
    <w:rsid w:val="008E14F6"/>
    <w:rsid w:val="008E5658"/>
    <w:rsid w:val="008F3950"/>
    <w:rsid w:val="00901A78"/>
    <w:rsid w:val="009050DB"/>
    <w:rsid w:val="009103C6"/>
    <w:rsid w:val="00916DB0"/>
    <w:rsid w:val="0092196A"/>
    <w:rsid w:val="00923914"/>
    <w:rsid w:val="00931B78"/>
    <w:rsid w:val="00932D78"/>
    <w:rsid w:val="009429BA"/>
    <w:rsid w:val="00944220"/>
    <w:rsid w:val="009510DC"/>
    <w:rsid w:val="009528B7"/>
    <w:rsid w:val="0097380E"/>
    <w:rsid w:val="009774E2"/>
    <w:rsid w:val="00991E74"/>
    <w:rsid w:val="009971DB"/>
    <w:rsid w:val="009A382B"/>
    <w:rsid w:val="009C1BBD"/>
    <w:rsid w:val="009C6577"/>
    <w:rsid w:val="009E4934"/>
    <w:rsid w:val="00A03410"/>
    <w:rsid w:val="00A0758E"/>
    <w:rsid w:val="00A156D6"/>
    <w:rsid w:val="00A15B16"/>
    <w:rsid w:val="00A2343D"/>
    <w:rsid w:val="00A3004D"/>
    <w:rsid w:val="00A567E7"/>
    <w:rsid w:val="00A65ADD"/>
    <w:rsid w:val="00A6664C"/>
    <w:rsid w:val="00A716EA"/>
    <w:rsid w:val="00A80EEE"/>
    <w:rsid w:val="00AA37F8"/>
    <w:rsid w:val="00AB566B"/>
    <w:rsid w:val="00AB59D8"/>
    <w:rsid w:val="00AB72EA"/>
    <w:rsid w:val="00AB73F4"/>
    <w:rsid w:val="00AD02FD"/>
    <w:rsid w:val="00AF6685"/>
    <w:rsid w:val="00B107C7"/>
    <w:rsid w:val="00B16649"/>
    <w:rsid w:val="00B24E7D"/>
    <w:rsid w:val="00B4057B"/>
    <w:rsid w:val="00B50FF9"/>
    <w:rsid w:val="00B51910"/>
    <w:rsid w:val="00B530E9"/>
    <w:rsid w:val="00B53B25"/>
    <w:rsid w:val="00B615B5"/>
    <w:rsid w:val="00B71CF5"/>
    <w:rsid w:val="00B81427"/>
    <w:rsid w:val="00B81B0B"/>
    <w:rsid w:val="00B865C2"/>
    <w:rsid w:val="00B86B3D"/>
    <w:rsid w:val="00BA2961"/>
    <w:rsid w:val="00BB55D9"/>
    <w:rsid w:val="00BC5471"/>
    <w:rsid w:val="00BC5D55"/>
    <w:rsid w:val="00BE3384"/>
    <w:rsid w:val="00BF03E5"/>
    <w:rsid w:val="00BF1296"/>
    <w:rsid w:val="00C0137C"/>
    <w:rsid w:val="00C10DDF"/>
    <w:rsid w:val="00C13155"/>
    <w:rsid w:val="00C141F0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591F"/>
    <w:rsid w:val="00C73A7A"/>
    <w:rsid w:val="00C73EF2"/>
    <w:rsid w:val="00C75557"/>
    <w:rsid w:val="00C9522E"/>
    <w:rsid w:val="00CB149A"/>
    <w:rsid w:val="00CB1E85"/>
    <w:rsid w:val="00CC359B"/>
    <w:rsid w:val="00CD05B6"/>
    <w:rsid w:val="00CD4CC5"/>
    <w:rsid w:val="00CF609F"/>
    <w:rsid w:val="00D00764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13ED6"/>
    <w:rsid w:val="00E2208F"/>
    <w:rsid w:val="00E223D2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81C"/>
    <w:rsid w:val="00E76BF4"/>
    <w:rsid w:val="00E80573"/>
    <w:rsid w:val="00E90278"/>
    <w:rsid w:val="00E917F9"/>
    <w:rsid w:val="00EA114F"/>
    <w:rsid w:val="00EA525D"/>
    <w:rsid w:val="00EA6868"/>
    <w:rsid w:val="00EB0BCB"/>
    <w:rsid w:val="00EB36D9"/>
    <w:rsid w:val="00EB44DB"/>
    <w:rsid w:val="00EB638A"/>
    <w:rsid w:val="00ED18FB"/>
    <w:rsid w:val="00ED53BC"/>
    <w:rsid w:val="00ED68AD"/>
    <w:rsid w:val="00EE2F42"/>
    <w:rsid w:val="00EE6407"/>
    <w:rsid w:val="00F00EDD"/>
    <w:rsid w:val="00F01114"/>
    <w:rsid w:val="00F0286A"/>
    <w:rsid w:val="00F4155E"/>
    <w:rsid w:val="00F54ED2"/>
    <w:rsid w:val="00F64C3B"/>
    <w:rsid w:val="00F66E74"/>
    <w:rsid w:val="00F67A50"/>
    <w:rsid w:val="00F738DA"/>
    <w:rsid w:val="00F8022F"/>
    <w:rsid w:val="00F95F9A"/>
    <w:rsid w:val="00F96EF7"/>
    <w:rsid w:val="00FA7585"/>
    <w:rsid w:val="00FB13FB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2F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7522F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27522F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27522F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27522F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27522F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7522F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7522F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7522F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7522F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7522F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752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27522F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2752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522F"/>
  </w:style>
  <w:style w:type="paragraph" w:customStyle="1" w:styleId="Rpido">
    <w:name w:val="Rápido _"/>
    <w:rsid w:val="0027522F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522F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27522F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27522F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Sinespaciado">
    <w:name w:val="No Spacing"/>
    <w:uiPriority w:val="1"/>
    <w:qFormat/>
    <w:rsid w:val="00932D7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Sinespaciado">
    <w:name w:val="No Spacing"/>
    <w:uiPriority w:val="1"/>
    <w:qFormat/>
    <w:rsid w:val="00932D7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1F8B-251D-4A0A-966F-AD6E3A40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2758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2018-06-22T08:48:00Z</cp:lastPrinted>
  <dcterms:created xsi:type="dcterms:W3CDTF">2018-07-16T13:07:00Z</dcterms:created>
  <dcterms:modified xsi:type="dcterms:W3CDTF">2018-07-16T13:07:00Z</dcterms:modified>
</cp:coreProperties>
</file>