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2B" w:rsidRPr="006A37E8" w:rsidRDefault="004016BA" w:rsidP="006A37E8">
      <w:pPr>
        <w:pStyle w:val="Piedepgina"/>
        <w:ind w:left="2127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noProof/>
          <w:sz w:val="48"/>
          <w:szCs w:val="4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left:0;text-align:left;margin-left:-6.2pt;margin-top:-6.25pt;width:63pt;height:29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" filled="f" stroked="f">
            <v:textbox style="layout-flow:vertical;mso-layout-flow-alt:bottom-to-top;mso-next-textbox:#Text Box 8">
              <w:txbxContent>
                <w:p w:rsidR="009A382B" w:rsidRDefault="009A382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6A37E8" w:rsidRPr="006A37E8">
        <w:rPr>
          <w:rFonts w:ascii="Arial Narrow" w:hAnsi="Arial Narrow"/>
          <w:b/>
          <w:noProof/>
          <w:sz w:val="48"/>
          <w:szCs w:val="48"/>
          <w:lang w:val="es-ES"/>
        </w:rPr>
        <w:t>El Gobierno aprueba ayudas por importe de 301,4 millones de euros para estrategias de desarrollo urbano sostenible</w:t>
      </w:r>
      <w:r w:rsidR="00A2343D">
        <w:rPr>
          <w:rFonts w:ascii="Arial Narrow" w:hAnsi="Arial Narrow"/>
          <w:b/>
          <w:noProof/>
          <w:sz w:val="48"/>
          <w:szCs w:val="48"/>
          <w:lang w:val="es-ES"/>
        </w:rPr>
        <w:t xml:space="preserve"> e integrado</w:t>
      </w:r>
      <w:r w:rsidR="006A37E8" w:rsidRPr="006A37E8">
        <w:rPr>
          <w:rFonts w:ascii="Arial Narrow" w:hAnsi="Arial Narrow"/>
          <w:b/>
          <w:noProof/>
          <w:sz w:val="48"/>
          <w:szCs w:val="48"/>
          <w:lang w:val="es-ES"/>
        </w:rPr>
        <w:t xml:space="preserve"> </w:t>
      </w:r>
      <w:r w:rsidR="007E253A">
        <w:rPr>
          <w:rFonts w:ascii="Arial Narrow" w:hAnsi="Arial Narrow"/>
          <w:b/>
          <w:noProof/>
          <w:sz w:val="48"/>
          <w:szCs w:val="48"/>
          <w:lang w:val="es-ES"/>
        </w:rPr>
        <w:t>(</w:t>
      </w:r>
      <w:r w:rsidR="00A2343D">
        <w:rPr>
          <w:rFonts w:ascii="Arial Narrow" w:hAnsi="Arial Narrow"/>
          <w:b/>
          <w:noProof/>
          <w:sz w:val="48"/>
          <w:szCs w:val="48"/>
          <w:lang w:val="es-ES"/>
        </w:rPr>
        <w:t>E</w:t>
      </w:r>
      <w:r w:rsidR="007E253A">
        <w:rPr>
          <w:rFonts w:ascii="Arial Narrow" w:hAnsi="Arial Narrow"/>
          <w:b/>
          <w:noProof/>
          <w:sz w:val="48"/>
          <w:szCs w:val="48"/>
          <w:lang w:val="es-ES"/>
        </w:rPr>
        <w:t xml:space="preserve">DUSI) </w:t>
      </w:r>
      <w:r w:rsidR="006A37E8" w:rsidRPr="006A37E8">
        <w:rPr>
          <w:rFonts w:ascii="Arial Narrow" w:hAnsi="Arial Narrow"/>
          <w:b/>
          <w:noProof/>
          <w:sz w:val="48"/>
          <w:szCs w:val="48"/>
          <w:lang w:val="es-ES"/>
        </w:rPr>
        <w:t xml:space="preserve">de las </w:t>
      </w:r>
      <w:r w:rsidR="007E253A">
        <w:rPr>
          <w:rFonts w:ascii="Arial Narrow" w:hAnsi="Arial Narrow"/>
          <w:b/>
          <w:noProof/>
          <w:sz w:val="48"/>
          <w:szCs w:val="48"/>
          <w:lang w:val="es-ES"/>
        </w:rPr>
        <w:t xml:space="preserve">entidades locales </w:t>
      </w:r>
    </w:p>
    <w:p w:rsidR="007E253A" w:rsidRDefault="007E253A" w:rsidP="009A382B">
      <w:pPr>
        <w:ind w:left="2127"/>
        <w:jc w:val="both"/>
        <w:rPr>
          <w:rFonts w:ascii="Arial Narrow" w:hAnsi="Arial Narrow"/>
          <w:b/>
          <w:sz w:val="28"/>
          <w:szCs w:val="28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F96EF7" w:rsidRDefault="00F96EF7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E253A" w:rsidRDefault="007E253A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E253A" w:rsidRDefault="007E253A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7E253A" w:rsidRPr="007E253A" w:rsidRDefault="007E253A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DE7D66" w:rsidRDefault="007F1FC8" w:rsidP="007E253A">
      <w:pPr>
        <w:pStyle w:val="Prrafodelista"/>
        <w:numPr>
          <w:ilvl w:val="0"/>
          <w:numId w:val="33"/>
        </w:numPr>
        <w:ind w:left="2410" w:hanging="28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Estas ayudas corresponden a 40</w:t>
      </w:r>
      <w:r w:rsidR="00DE7D66">
        <w:rPr>
          <w:rFonts w:ascii="Arial Narrow" w:hAnsi="Arial Narrow"/>
          <w:b/>
          <w:sz w:val="28"/>
          <w:szCs w:val="28"/>
        </w:rPr>
        <w:t xml:space="preserve"> proyectos seleccionados, </w:t>
      </w:r>
      <w:r>
        <w:rPr>
          <w:rFonts w:ascii="Arial Narrow" w:hAnsi="Arial Narrow"/>
          <w:b/>
          <w:sz w:val="28"/>
          <w:szCs w:val="28"/>
        </w:rPr>
        <w:t xml:space="preserve">de los que </w:t>
      </w:r>
      <w:r w:rsidR="00DE7D66" w:rsidRPr="00120E2A">
        <w:rPr>
          <w:rFonts w:ascii="Arial Narrow" w:hAnsi="Arial Narrow"/>
          <w:b/>
          <w:sz w:val="28"/>
          <w:szCs w:val="28"/>
          <w:u w:val="single"/>
        </w:rPr>
        <w:t>el Ministerio de la Presidencia y para las Administraciones Territoriales gestiona</w:t>
      </w:r>
      <w:r w:rsidRPr="00120E2A">
        <w:rPr>
          <w:rFonts w:ascii="Arial Narrow" w:hAnsi="Arial Narrow"/>
          <w:b/>
          <w:sz w:val="28"/>
          <w:szCs w:val="28"/>
          <w:u w:val="single"/>
        </w:rPr>
        <w:t>rá</w:t>
      </w:r>
      <w:r w:rsidR="00DE7D66" w:rsidRPr="00120E2A">
        <w:rPr>
          <w:rFonts w:ascii="Arial Narrow" w:hAnsi="Arial Narrow"/>
          <w:b/>
          <w:sz w:val="28"/>
          <w:szCs w:val="28"/>
          <w:u w:val="single"/>
        </w:rPr>
        <w:t xml:space="preserve"> 27</w:t>
      </w:r>
      <w:r w:rsidR="002D7820" w:rsidRPr="00120E2A">
        <w:rPr>
          <w:rFonts w:ascii="Arial Narrow" w:hAnsi="Arial Narrow"/>
          <w:b/>
          <w:sz w:val="28"/>
          <w:szCs w:val="28"/>
          <w:u w:val="single"/>
        </w:rPr>
        <w:t xml:space="preserve"> proyectos</w:t>
      </w:r>
      <w:r w:rsidR="00DE7D66" w:rsidRPr="00120E2A">
        <w:rPr>
          <w:rFonts w:ascii="Arial Narrow" w:hAnsi="Arial Narrow"/>
          <w:b/>
          <w:sz w:val="28"/>
          <w:szCs w:val="28"/>
          <w:u w:val="single"/>
        </w:rPr>
        <w:t>, por un importe de 145,23 millones de euros</w:t>
      </w:r>
    </w:p>
    <w:p w:rsidR="00DE7D66" w:rsidRDefault="00DE7D66" w:rsidP="00DE7D66">
      <w:pPr>
        <w:pStyle w:val="Prrafodelista"/>
        <w:ind w:left="2410"/>
        <w:jc w:val="both"/>
        <w:rPr>
          <w:rFonts w:ascii="Arial Narrow" w:hAnsi="Arial Narrow"/>
          <w:b/>
          <w:sz w:val="28"/>
          <w:szCs w:val="28"/>
        </w:rPr>
      </w:pPr>
    </w:p>
    <w:p w:rsidR="009A382B" w:rsidRPr="007E253A" w:rsidRDefault="007F1FC8" w:rsidP="007E253A">
      <w:pPr>
        <w:pStyle w:val="Prrafodelista"/>
        <w:numPr>
          <w:ilvl w:val="0"/>
          <w:numId w:val="33"/>
        </w:numPr>
        <w:ind w:left="2410" w:hanging="28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Las</w:t>
      </w:r>
      <w:r w:rsidR="00736DE3">
        <w:rPr>
          <w:rFonts w:ascii="Arial Narrow" w:hAnsi="Arial Narrow"/>
          <w:b/>
          <w:sz w:val="28"/>
          <w:szCs w:val="28"/>
        </w:rPr>
        <w:t xml:space="preserve"> ayudas</w:t>
      </w:r>
      <w:r w:rsidR="007E253A" w:rsidRPr="007E253A">
        <w:rPr>
          <w:rFonts w:ascii="Arial Narrow" w:hAnsi="Arial Narrow"/>
          <w:b/>
          <w:sz w:val="28"/>
          <w:szCs w:val="28"/>
        </w:rPr>
        <w:t xml:space="preserve"> corresponden a la segunda convocatoria</w:t>
      </w:r>
      <w:r w:rsidR="00DE7D66">
        <w:rPr>
          <w:rFonts w:ascii="Arial Narrow" w:hAnsi="Arial Narrow"/>
          <w:b/>
          <w:sz w:val="28"/>
          <w:szCs w:val="28"/>
        </w:rPr>
        <w:t xml:space="preserve"> EDUSI</w:t>
      </w:r>
      <w:r w:rsidR="00736DE3">
        <w:rPr>
          <w:rFonts w:ascii="Arial Narrow" w:hAnsi="Arial Narrow"/>
          <w:b/>
          <w:sz w:val="28"/>
          <w:szCs w:val="28"/>
        </w:rPr>
        <w:t xml:space="preserve"> </w:t>
      </w:r>
      <w:r w:rsidR="00DE7D66">
        <w:rPr>
          <w:rFonts w:ascii="Arial Narrow" w:hAnsi="Arial Narrow"/>
          <w:b/>
          <w:sz w:val="28"/>
          <w:szCs w:val="28"/>
        </w:rPr>
        <w:t>que</w:t>
      </w:r>
      <w:r w:rsidR="00736DE3">
        <w:rPr>
          <w:rFonts w:ascii="Arial Narrow" w:hAnsi="Arial Narrow"/>
          <w:b/>
          <w:sz w:val="28"/>
          <w:szCs w:val="28"/>
        </w:rPr>
        <w:t xml:space="preserve">, </w:t>
      </w:r>
      <w:r w:rsidR="00DE7D66">
        <w:rPr>
          <w:rFonts w:ascii="Arial Narrow" w:hAnsi="Arial Narrow"/>
          <w:b/>
          <w:sz w:val="28"/>
          <w:szCs w:val="28"/>
        </w:rPr>
        <w:t>junto a</w:t>
      </w:r>
      <w:r w:rsidR="00736DE3">
        <w:rPr>
          <w:rFonts w:ascii="Arial Narrow" w:hAnsi="Arial Narrow"/>
          <w:b/>
          <w:sz w:val="28"/>
          <w:szCs w:val="28"/>
        </w:rPr>
        <w:t xml:space="preserve"> la </w:t>
      </w:r>
      <w:r w:rsidR="00DE7D66">
        <w:rPr>
          <w:rFonts w:ascii="Arial Narrow" w:hAnsi="Arial Narrow"/>
          <w:b/>
          <w:sz w:val="28"/>
          <w:szCs w:val="28"/>
        </w:rPr>
        <w:t>convocatoria anterior, suman</w:t>
      </w:r>
      <w:r w:rsidR="00736DE3">
        <w:rPr>
          <w:rFonts w:ascii="Arial Narrow" w:hAnsi="Arial Narrow"/>
          <w:b/>
          <w:sz w:val="28"/>
          <w:szCs w:val="28"/>
        </w:rPr>
        <w:t xml:space="preserve"> </w:t>
      </w:r>
      <w:r w:rsidR="007E253A" w:rsidRPr="007E253A">
        <w:rPr>
          <w:rFonts w:ascii="Arial Narrow" w:hAnsi="Arial Narrow"/>
          <w:b/>
          <w:sz w:val="28"/>
          <w:szCs w:val="28"/>
        </w:rPr>
        <w:t>1.013 millones de euros</w:t>
      </w:r>
      <w:r w:rsidR="00736DE3">
        <w:rPr>
          <w:rFonts w:ascii="Arial Narrow" w:hAnsi="Arial Narrow"/>
          <w:b/>
          <w:sz w:val="28"/>
          <w:szCs w:val="28"/>
        </w:rPr>
        <w:t xml:space="preserve"> procedentes de fondos europeos </w:t>
      </w:r>
      <w:r w:rsidR="00DE7D66">
        <w:rPr>
          <w:rFonts w:ascii="Arial Narrow" w:hAnsi="Arial Narrow"/>
          <w:b/>
          <w:sz w:val="28"/>
          <w:szCs w:val="28"/>
        </w:rPr>
        <w:t xml:space="preserve">y </w:t>
      </w:r>
      <w:r w:rsidR="00736DE3">
        <w:rPr>
          <w:rFonts w:ascii="Arial Narrow" w:hAnsi="Arial Narrow"/>
          <w:b/>
          <w:sz w:val="28"/>
          <w:szCs w:val="28"/>
        </w:rPr>
        <w:t>con destino a las entidades locales españolas</w:t>
      </w:r>
    </w:p>
    <w:p w:rsidR="007E253A" w:rsidRDefault="007E253A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9103C6" w:rsidRPr="009103C6" w:rsidRDefault="009103C6" w:rsidP="009A382B">
      <w:pPr>
        <w:ind w:left="2127"/>
        <w:jc w:val="both"/>
        <w:rPr>
          <w:rFonts w:ascii="Arial Narrow" w:hAnsi="Arial Narrow"/>
          <w:b/>
          <w:sz w:val="2"/>
          <w:szCs w:val="2"/>
        </w:rPr>
      </w:pPr>
    </w:p>
    <w:p w:rsidR="006A37E8" w:rsidRDefault="00D57CB9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27080">
        <w:rPr>
          <w:rFonts w:ascii="Arial Narrow" w:hAnsi="Arial Narrow"/>
          <w:b/>
          <w:color w:val="000000" w:themeColor="text1"/>
          <w:sz w:val="28"/>
          <w:szCs w:val="28"/>
        </w:rPr>
        <w:t>Madrid, 2</w:t>
      </w:r>
      <w:r w:rsidR="00120E2A">
        <w:rPr>
          <w:rFonts w:ascii="Arial Narrow" w:hAnsi="Arial Narrow"/>
          <w:b/>
          <w:color w:val="000000" w:themeColor="text1"/>
          <w:sz w:val="28"/>
          <w:szCs w:val="28"/>
        </w:rPr>
        <w:t>3</w:t>
      </w:r>
      <w:r w:rsidRPr="00D27080">
        <w:rPr>
          <w:rFonts w:ascii="Arial Narrow" w:hAnsi="Arial Narrow"/>
          <w:b/>
          <w:color w:val="000000" w:themeColor="text1"/>
          <w:sz w:val="28"/>
          <w:szCs w:val="28"/>
        </w:rPr>
        <w:t xml:space="preserve"> de mayo de 2017</w:t>
      </w:r>
      <w:r w:rsidRPr="00D27080">
        <w:rPr>
          <w:rFonts w:ascii="Arial Narrow" w:hAnsi="Arial Narrow"/>
          <w:color w:val="000000" w:themeColor="text1"/>
          <w:sz w:val="28"/>
          <w:szCs w:val="28"/>
        </w:rPr>
        <w:t xml:space="preserve">.- 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>El Gobierno ha adjudicado las ayudas</w:t>
      </w:r>
      <w:r w:rsidR="00161367" w:rsidRPr="00D27080">
        <w:rPr>
          <w:rFonts w:ascii="Arial Narrow" w:hAnsi="Arial Narrow"/>
          <w:color w:val="000000" w:themeColor="text1"/>
          <w:sz w:val="28"/>
          <w:szCs w:val="28"/>
        </w:rPr>
        <w:t xml:space="preserve"> para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 xml:space="preserve"> estrategias de desarrollo urbano sostenible</w:t>
      </w:r>
      <w:r w:rsidR="00A2343D">
        <w:rPr>
          <w:rFonts w:ascii="Arial Narrow" w:hAnsi="Arial Narrow"/>
          <w:color w:val="000000" w:themeColor="text1"/>
          <w:sz w:val="28"/>
          <w:szCs w:val="28"/>
        </w:rPr>
        <w:t xml:space="preserve"> e integrado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 xml:space="preserve"> (</w:t>
      </w:r>
      <w:r w:rsidR="00A2343D">
        <w:rPr>
          <w:rFonts w:ascii="Arial Narrow" w:hAnsi="Arial Narrow"/>
          <w:color w:val="000000" w:themeColor="text1"/>
          <w:sz w:val="28"/>
          <w:szCs w:val="28"/>
        </w:rPr>
        <w:t>E</w:t>
      </w:r>
      <w:r w:rsidRPr="00D27080">
        <w:rPr>
          <w:rFonts w:ascii="Arial Narrow" w:hAnsi="Arial Narrow"/>
          <w:color w:val="000000" w:themeColor="text1"/>
          <w:sz w:val="28"/>
          <w:szCs w:val="28"/>
        </w:rPr>
        <w:t>D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>USI)</w:t>
      </w:r>
      <w:r w:rsidR="00D27080" w:rsidRPr="00D27080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736DE3">
        <w:rPr>
          <w:rFonts w:ascii="Arial Narrow" w:hAnsi="Arial Narrow"/>
          <w:color w:val="000000" w:themeColor="text1"/>
          <w:sz w:val="28"/>
          <w:szCs w:val="28"/>
        </w:rPr>
        <w:t>como</w:t>
      </w:r>
      <w:r w:rsidR="00161367" w:rsidRPr="00D27080">
        <w:rPr>
          <w:rFonts w:ascii="Arial Narrow" w:hAnsi="Arial Narrow"/>
          <w:color w:val="000000" w:themeColor="text1"/>
          <w:sz w:val="28"/>
          <w:szCs w:val="28"/>
        </w:rPr>
        <w:t xml:space="preserve"> recoge la r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 xml:space="preserve">esolución </w:t>
      </w:r>
      <w:r w:rsidR="00F96EF7">
        <w:rPr>
          <w:rFonts w:ascii="Arial Narrow" w:hAnsi="Arial Narrow"/>
          <w:color w:val="000000" w:themeColor="text1"/>
          <w:sz w:val="28"/>
          <w:szCs w:val="28"/>
        </w:rPr>
        <w:t>publicada en</w:t>
      </w:r>
      <w:r w:rsidRPr="00D27080">
        <w:rPr>
          <w:rFonts w:ascii="Arial Narrow" w:hAnsi="Arial Narrow"/>
          <w:color w:val="000000" w:themeColor="text1"/>
          <w:sz w:val="28"/>
          <w:szCs w:val="28"/>
        </w:rPr>
        <w:t xml:space="preserve"> el </w:t>
      </w:r>
      <w:r w:rsidR="00161367" w:rsidRPr="00D27080">
        <w:rPr>
          <w:rFonts w:ascii="Arial Narrow" w:hAnsi="Arial Narrow"/>
          <w:color w:val="000000" w:themeColor="text1"/>
          <w:sz w:val="28"/>
          <w:szCs w:val="28"/>
        </w:rPr>
        <w:t>BOE</w:t>
      </w:r>
      <w:r w:rsidRPr="00D27080">
        <w:rPr>
          <w:rFonts w:ascii="Arial Narrow" w:hAnsi="Arial Narrow"/>
          <w:color w:val="000000" w:themeColor="text1"/>
          <w:sz w:val="28"/>
          <w:szCs w:val="28"/>
        </w:rPr>
        <w:t xml:space="preserve">, correspondiente a la </w:t>
      </w:r>
      <w:r w:rsidR="00161367" w:rsidRPr="00D27080">
        <w:rPr>
          <w:rFonts w:ascii="Arial Narrow" w:hAnsi="Arial Narrow"/>
          <w:color w:val="000000" w:themeColor="text1"/>
          <w:sz w:val="28"/>
          <w:szCs w:val="28"/>
        </w:rPr>
        <w:t xml:space="preserve">segunda </w:t>
      </w:r>
      <w:r w:rsidR="00F96EF7">
        <w:rPr>
          <w:rFonts w:ascii="Arial Narrow" w:hAnsi="Arial Narrow"/>
          <w:color w:val="000000" w:themeColor="text1"/>
          <w:sz w:val="28"/>
          <w:szCs w:val="28"/>
        </w:rPr>
        <w:t xml:space="preserve">convocatoria. 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 xml:space="preserve">Los 281,83 millones de </w:t>
      </w:r>
      <w:r w:rsidR="00161367" w:rsidRPr="00D27080">
        <w:rPr>
          <w:rFonts w:ascii="Arial Narrow" w:hAnsi="Arial Narrow"/>
          <w:color w:val="000000" w:themeColor="text1"/>
          <w:sz w:val="28"/>
          <w:szCs w:val="28"/>
        </w:rPr>
        <w:t>esta nueva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 xml:space="preserve"> convocatoria se ven incrementados con 19,58 millones procedentes de los restos de la primera</w:t>
      </w:r>
      <w:r w:rsidR="00161367" w:rsidRPr="00D27080">
        <w:rPr>
          <w:rFonts w:ascii="Arial Narrow" w:hAnsi="Arial Narrow"/>
          <w:color w:val="000000" w:themeColor="text1"/>
          <w:sz w:val="28"/>
          <w:szCs w:val="28"/>
        </w:rPr>
        <w:t>,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D27080">
        <w:rPr>
          <w:rFonts w:ascii="Arial Narrow" w:hAnsi="Arial Narrow"/>
          <w:color w:val="000000" w:themeColor="text1"/>
          <w:sz w:val="28"/>
          <w:szCs w:val="28"/>
        </w:rPr>
        <w:t xml:space="preserve">alcanzando 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 xml:space="preserve">la cifra final </w:t>
      </w:r>
      <w:r w:rsidR="00161367" w:rsidRPr="00D27080">
        <w:rPr>
          <w:rFonts w:ascii="Arial Narrow" w:hAnsi="Arial Narrow"/>
          <w:color w:val="000000" w:themeColor="text1"/>
          <w:sz w:val="28"/>
          <w:szCs w:val="28"/>
        </w:rPr>
        <w:t xml:space="preserve">de </w:t>
      </w:r>
      <w:r w:rsidR="006A37E8" w:rsidRPr="00D27080">
        <w:rPr>
          <w:rFonts w:ascii="Arial Narrow" w:hAnsi="Arial Narrow"/>
          <w:color w:val="000000" w:themeColor="text1"/>
          <w:sz w:val="28"/>
          <w:szCs w:val="28"/>
        </w:rPr>
        <w:t>301,4 millones de euros.</w:t>
      </w:r>
    </w:p>
    <w:tbl>
      <w:tblPr>
        <w:tblpPr w:leftFromText="141" w:rightFromText="141" w:vertAnchor="text" w:horzAnchor="margin" w:tblpXSpec="right" w:tblpY="161"/>
        <w:tblW w:w="864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4"/>
        <w:gridCol w:w="4313"/>
      </w:tblGrid>
      <w:tr w:rsidR="007F1FC8" w:rsidRPr="007F1FC8" w:rsidTr="007F1FC8">
        <w:trPr>
          <w:trHeight w:val="361"/>
          <w:tblHeader/>
          <w:tblCellSpacing w:w="15" w:type="dxa"/>
        </w:trPr>
        <w:tc>
          <w:tcPr>
            <w:tcW w:w="4289" w:type="dxa"/>
            <w:shd w:val="clear" w:color="auto" w:fill="1F497D" w:themeFill="text2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bCs/>
                <w:color w:val="FFFFFF" w:themeColor="background1"/>
                <w:sz w:val="18"/>
                <w:szCs w:val="18"/>
              </w:rPr>
              <w:t>Comunidad Autónoma</w:t>
            </w:r>
          </w:p>
        </w:tc>
        <w:tc>
          <w:tcPr>
            <w:tcW w:w="4268" w:type="dxa"/>
            <w:shd w:val="clear" w:color="auto" w:fill="1F497D" w:themeFill="text2"/>
            <w:vAlign w:val="center"/>
            <w:hideMark/>
          </w:tcPr>
          <w:p w:rsidR="007F1FC8" w:rsidRPr="007F1FC8" w:rsidRDefault="007F1FC8" w:rsidP="007F1FC8">
            <w:pPr>
              <w:ind w:left="-2"/>
              <w:rPr>
                <w:rFonts w:ascii="Arial Narrow" w:hAnsi="Arial Narrow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bCs/>
                <w:color w:val="FFFFFF" w:themeColor="background1"/>
                <w:sz w:val="18"/>
                <w:szCs w:val="18"/>
              </w:rPr>
              <w:t>Total ayuda FEDER por CCAA 2ª convocatoria</w:t>
            </w:r>
          </w:p>
          <w:p w:rsidR="007F1FC8" w:rsidRPr="007F1FC8" w:rsidRDefault="007F1FC8" w:rsidP="007F1FC8">
            <w:pPr>
              <w:ind w:left="-2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18"/>
                <w:szCs w:val="18"/>
              </w:rPr>
              <w:t>Miles de euros</w:t>
            </w:r>
          </w:p>
        </w:tc>
      </w:tr>
      <w:tr w:rsidR="007F1FC8" w:rsidRPr="007F1FC8" w:rsidTr="007F1FC8">
        <w:trPr>
          <w:trHeight w:val="94"/>
          <w:tblCellSpacing w:w="15" w:type="dxa"/>
        </w:trPr>
        <w:tc>
          <w:tcPr>
            <w:tcW w:w="4289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Extremadura </w:t>
            </w:r>
          </w:p>
        </w:tc>
        <w:tc>
          <w:tcPr>
            <w:tcW w:w="4268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23.302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BFBFBF" w:themeFill="background1" w:themeFillShade="BF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  <w:t xml:space="preserve">Subtotal Menos Desarrolladas </w:t>
            </w:r>
          </w:p>
        </w:tc>
        <w:tc>
          <w:tcPr>
            <w:tcW w:w="4268" w:type="dxa"/>
            <w:shd w:val="clear" w:color="auto" w:fill="BFBFBF" w:themeFill="background1" w:themeFillShade="BF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  <w:t>23.302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Andalucía </w:t>
            </w:r>
          </w:p>
        </w:tc>
        <w:tc>
          <w:tcPr>
            <w:tcW w:w="4268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104.297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Castilla-La Mancha </w:t>
            </w:r>
          </w:p>
        </w:tc>
        <w:tc>
          <w:tcPr>
            <w:tcW w:w="4268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19.078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Murcia </w:t>
            </w:r>
          </w:p>
        </w:tc>
        <w:tc>
          <w:tcPr>
            <w:tcW w:w="4268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14.071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Canarias </w:t>
            </w:r>
          </w:p>
        </w:tc>
        <w:tc>
          <w:tcPr>
            <w:tcW w:w="4268" w:type="dxa"/>
            <w:shd w:val="clear" w:color="auto" w:fill="FBD4B4" w:themeFill="accent6" w:themeFillTint="66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22.131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BFBFBF" w:themeFill="background1" w:themeFillShade="BF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  <w:t xml:space="preserve">Subtotal Transición </w:t>
            </w:r>
          </w:p>
        </w:tc>
        <w:tc>
          <w:tcPr>
            <w:tcW w:w="4268" w:type="dxa"/>
            <w:shd w:val="clear" w:color="auto" w:fill="BFBFBF" w:themeFill="background1" w:themeFillShade="BF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  <w:t>159.577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Galicia </w:t>
            </w:r>
          </w:p>
        </w:tc>
        <w:tc>
          <w:tcPr>
            <w:tcW w:w="4268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35.630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Com. Valenciana </w:t>
            </w:r>
          </w:p>
        </w:tc>
        <w:tc>
          <w:tcPr>
            <w:tcW w:w="4268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35.585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Asturias </w:t>
            </w:r>
          </w:p>
        </w:tc>
        <w:tc>
          <w:tcPr>
            <w:tcW w:w="4268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10.308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Castilla y León </w:t>
            </w:r>
          </w:p>
        </w:tc>
        <w:tc>
          <w:tcPr>
            <w:tcW w:w="4268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14.069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La Rioja </w:t>
            </w:r>
          </w:p>
        </w:tc>
        <w:tc>
          <w:tcPr>
            <w:tcW w:w="4268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1.962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Cataluña </w:t>
            </w:r>
          </w:p>
        </w:tc>
        <w:tc>
          <w:tcPr>
            <w:tcW w:w="4268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17.556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Madrid </w:t>
            </w:r>
          </w:p>
        </w:tc>
        <w:tc>
          <w:tcPr>
            <w:tcW w:w="4268" w:type="dxa"/>
            <w:shd w:val="clear" w:color="auto" w:fill="FABF8F" w:themeFill="accent6" w:themeFillTint="99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3.428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BFBFBF" w:themeFill="background1" w:themeFillShade="BF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  <w:t xml:space="preserve">Subtotal Más Desarrolladas </w:t>
            </w:r>
          </w:p>
        </w:tc>
        <w:tc>
          <w:tcPr>
            <w:tcW w:w="4268" w:type="dxa"/>
            <w:shd w:val="clear" w:color="auto" w:fill="BFBFBF" w:themeFill="background1" w:themeFillShade="BF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  <w:t>118.538</w:t>
            </w:r>
          </w:p>
        </w:tc>
      </w:tr>
      <w:tr w:rsidR="007F1FC8" w:rsidRPr="007F1FC8" w:rsidTr="007F1FC8">
        <w:trPr>
          <w:tblCellSpacing w:w="15" w:type="dxa"/>
        </w:trPr>
        <w:tc>
          <w:tcPr>
            <w:tcW w:w="4289" w:type="dxa"/>
            <w:shd w:val="clear" w:color="auto" w:fill="1F497D" w:themeFill="text2"/>
            <w:vAlign w:val="center"/>
            <w:hideMark/>
          </w:tcPr>
          <w:p w:rsidR="007F1FC8" w:rsidRPr="007F1FC8" w:rsidRDefault="007F1FC8" w:rsidP="007F1FC8">
            <w:pPr>
              <w:rPr>
                <w:rFonts w:ascii="Arial Narrow" w:hAnsi="Arial Narrow" w:cs="Times New Roman"/>
                <w:b/>
                <w:color w:val="FFFFFF" w:themeColor="background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color w:val="FFFFFF" w:themeColor="background1"/>
                <w:sz w:val="18"/>
                <w:szCs w:val="18"/>
              </w:rPr>
              <w:t xml:space="preserve">Total España </w:t>
            </w:r>
          </w:p>
        </w:tc>
        <w:tc>
          <w:tcPr>
            <w:tcW w:w="4268" w:type="dxa"/>
            <w:shd w:val="clear" w:color="auto" w:fill="1F497D" w:themeFill="text2"/>
            <w:vAlign w:val="center"/>
            <w:hideMark/>
          </w:tcPr>
          <w:p w:rsidR="007F1FC8" w:rsidRPr="007F1FC8" w:rsidRDefault="007F1FC8" w:rsidP="007F1FC8">
            <w:pPr>
              <w:ind w:left="1701"/>
              <w:jc w:val="right"/>
              <w:rPr>
                <w:rFonts w:ascii="Arial Narrow" w:hAnsi="Arial Narrow" w:cs="Times New Roman"/>
                <w:b/>
                <w:color w:val="FFFFFF" w:themeColor="background1"/>
                <w:sz w:val="18"/>
                <w:szCs w:val="18"/>
              </w:rPr>
            </w:pPr>
            <w:r w:rsidRPr="007F1FC8">
              <w:rPr>
                <w:rFonts w:ascii="Arial Narrow" w:hAnsi="Arial Narrow" w:cs="Times New Roman"/>
                <w:b/>
                <w:color w:val="FFFFFF" w:themeColor="background1"/>
                <w:sz w:val="18"/>
                <w:szCs w:val="18"/>
              </w:rPr>
              <w:t>301.417</w:t>
            </w:r>
          </w:p>
        </w:tc>
      </w:tr>
    </w:tbl>
    <w:p w:rsidR="007F1FC8" w:rsidRP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7F1FC8" w:rsidRPr="00D27080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D57CB9" w:rsidRPr="00161367" w:rsidRDefault="00D57CB9" w:rsidP="009A382B">
      <w:pPr>
        <w:ind w:left="2127"/>
        <w:jc w:val="both"/>
        <w:rPr>
          <w:rFonts w:ascii="Arial Narrow" w:hAnsi="Arial Narrow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D57CB9">
        <w:rPr>
          <w:rFonts w:ascii="Verdana" w:hAnsi="Verdana"/>
          <w:i/>
          <w:sz w:val="16"/>
          <w:szCs w:val="16"/>
        </w:rPr>
        <w:t>(*) La dotación para Desarrollo Urbano Sostenible Integrado correspondiente a Ceuta y Melilla se halla programada en los respectivos Programas Operativos FEDER de Ceuta y Melilla.</w:t>
      </w:r>
    </w:p>
    <w:p w:rsidR="002D7820" w:rsidRPr="00DE7D66" w:rsidRDefault="002D7820" w:rsidP="002D7820">
      <w:pPr>
        <w:tabs>
          <w:tab w:val="left" w:pos="2268"/>
        </w:tabs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DE7D66">
        <w:rPr>
          <w:rFonts w:ascii="Arial Narrow" w:hAnsi="Arial Narrow"/>
          <w:b/>
          <w:sz w:val="28"/>
          <w:szCs w:val="28"/>
          <w:u w:val="single"/>
        </w:rPr>
        <w:lastRenderedPageBreak/>
        <w:t>27 EDUSI</w:t>
      </w:r>
      <w:r>
        <w:rPr>
          <w:rFonts w:ascii="Arial Narrow" w:hAnsi="Arial Narrow"/>
          <w:b/>
          <w:sz w:val="28"/>
          <w:szCs w:val="28"/>
          <w:u w:val="single"/>
        </w:rPr>
        <w:t>,</w:t>
      </w:r>
      <w:r w:rsidRPr="00DE7D66">
        <w:rPr>
          <w:rFonts w:ascii="Arial Narrow" w:hAnsi="Arial Narrow"/>
          <w:b/>
          <w:sz w:val="28"/>
          <w:szCs w:val="28"/>
          <w:u w:val="single"/>
        </w:rPr>
        <w:t xml:space="preserve"> por importe de 145 millones de euros</w:t>
      </w:r>
      <w:r>
        <w:rPr>
          <w:rFonts w:ascii="Arial Narrow" w:hAnsi="Arial Narrow"/>
          <w:b/>
          <w:sz w:val="28"/>
          <w:szCs w:val="28"/>
          <w:u w:val="single"/>
        </w:rPr>
        <w:t>,</w:t>
      </w:r>
      <w:r w:rsidRPr="00DE7D66">
        <w:rPr>
          <w:rFonts w:ascii="Arial Narrow" w:hAnsi="Arial Narrow"/>
          <w:b/>
          <w:sz w:val="28"/>
          <w:szCs w:val="28"/>
          <w:u w:val="single"/>
        </w:rPr>
        <w:t xml:space="preserve"> serán gestionadas por el Ministerio de la Presidencia y para las Administraciones Territoriales </w:t>
      </w:r>
    </w:p>
    <w:p w:rsidR="002D7820" w:rsidRDefault="002D7820" w:rsidP="002D7820">
      <w:pPr>
        <w:tabs>
          <w:tab w:val="left" w:pos="2268"/>
        </w:tabs>
        <w:ind w:left="2127"/>
        <w:jc w:val="both"/>
        <w:rPr>
          <w:rFonts w:ascii="Arial Narrow" w:hAnsi="Arial Narrow"/>
          <w:sz w:val="28"/>
          <w:szCs w:val="28"/>
        </w:rPr>
      </w:pPr>
    </w:p>
    <w:p w:rsidR="002D7820" w:rsidRDefault="002D7820" w:rsidP="002D7820">
      <w:pPr>
        <w:tabs>
          <w:tab w:val="left" w:pos="2268"/>
        </w:tabs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</w:t>
      </w:r>
      <w:r w:rsidRPr="002A78E2">
        <w:rPr>
          <w:rFonts w:ascii="Arial Narrow" w:hAnsi="Arial Narrow"/>
          <w:sz w:val="28"/>
          <w:szCs w:val="28"/>
        </w:rPr>
        <w:t xml:space="preserve"> resolución</w:t>
      </w:r>
      <w:r>
        <w:rPr>
          <w:rFonts w:ascii="Arial Narrow" w:hAnsi="Arial Narrow"/>
          <w:sz w:val="28"/>
          <w:szCs w:val="28"/>
        </w:rPr>
        <w:t xml:space="preserve"> de esta segunda convocatoria </w:t>
      </w:r>
      <w:r w:rsidRPr="002A78E2">
        <w:rPr>
          <w:rFonts w:ascii="Arial Narrow" w:hAnsi="Arial Narrow"/>
          <w:sz w:val="28"/>
          <w:szCs w:val="28"/>
        </w:rPr>
        <w:t xml:space="preserve">asigna a las </w:t>
      </w:r>
      <w:r>
        <w:rPr>
          <w:rFonts w:ascii="Arial Narrow" w:hAnsi="Arial Narrow"/>
          <w:sz w:val="28"/>
          <w:szCs w:val="28"/>
        </w:rPr>
        <w:t xml:space="preserve">EELL </w:t>
      </w:r>
      <w:r w:rsidRPr="002A78E2">
        <w:rPr>
          <w:rFonts w:ascii="Arial Narrow" w:hAnsi="Arial Narrow"/>
          <w:sz w:val="28"/>
          <w:szCs w:val="28"/>
        </w:rPr>
        <w:t>el organismo intermedio que les corresponde para la gestión de las EDUSI</w:t>
      </w:r>
      <w:r>
        <w:rPr>
          <w:rFonts w:ascii="Arial Narrow" w:hAnsi="Arial Narrow"/>
          <w:sz w:val="28"/>
          <w:szCs w:val="28"/>
        </w:rPr>
        <w:t xml:space="preserve"> aprobadas</w:t>
      </w:r>
      <w:r w:rsidRPr="002A78E2">
        <w:rPr>
          <w:rFonts w:ascii="Arial Narrow" w:hAnsi="Arial Narrow"/>
          <w:sz w:val="28"/>
          <w:szCs w:val="28"/>
        </w:rPr>
        <w:t>: la Dirección General de Relaciones con las C</w:t>
      </w:r>
      <w:r>
        <w:rPr>
          <w:rFonts w:ascii="Arial Narrow" w:hAnsi="Arial Narrow"/>
          <w:sz w:val="28"/>
          <w:szCs w:val="28"/>
        </w:rPr>
        <w:t>CAA</w:t>
      </w:r>
      <w:r w:rsidRPr="002A78E2">
        <w:rPr>
          <w:rFonts w:ascii="Arial Narrow" w:hAnsi="Arial Narrow"/>
          <w:sz w:val="28"/>
          <w:szCs w:val="28"/>
        </w:rPr>
        <w:t xml:space="preserve"> y Entes Locales</w:t>
      </w:r>
      <w:r>
        <w:rPr>
          <w:rFonts w:ascii="Arial Narrow" w:hAnsi="Arial Narrow"/>
          <w:sz w:val="28"/>
          <w:szCs w:val="28"/>
        </w:rPr>
        <w:t>, en el caso del Ministerio</w:t>
      </w:r>
      <w:r w:rsidRPr="002A78E2">
        <w:rPr>
          <w:rFonts w:ascii="Arial Narrow" w:hAnsi="Arial Narrow"/>
          <w:sz w:val="28"/>
          <w:szCs w:val="28"/>
        </w:rPr>
        <w:t xml:space="preserve"> de la Presidencia y para las Administraciones Territoriales</w:t>
      </w:r>
      <w:r>
        <w:rPr>
          <w:rFonts w:ascii="Arial Narrow" w:hAnsi="Arial Narrow"/>
          <w:sz w:val="28"/>
          <w:szCs w:val="28"/>
        </w:rPr>
        <w:t>, gestionará 27 de las 40 EDUSI seleccionadas, por un importe de 145,23 millones de euros (aproximadamente el 50% del importe total). El resto de ayudas, 13, las gestionará el Ministerio de Hacienda y Función Pública.</w:t>
      </w:r>
    </w:p>
    <w:p w:rsidR="002D7820" w:rsidRDefault="002D7820" w:rsidP="002D7820">
      <w:pPr>
        <w:tabs>
          <w:tab w:val="left" w:pos="2268"/>
        </w:tabs>
        <w:ind w:left="2127"/>
        <w:jc w:val="both"/>
        <w:rPr>
          <w:rFonts w:ascii="Arial Narrow" w:hAnsi="Arial Narrow"/>
          <w:sz w:val="28"/>
          <w:szCs w:val="28"/>
        </w:rPr>
      </w:pPr>
    </w:p>
    <w:p w:rsidR="002D7820" w:rsidRPr="009103C6" w:rsidRDefault="002D7820" w:rsidP="002D7820">
      <w:pPr>
        <w:tabs>
          <w:tab w:val="left" w:pos="2268"/>
        </w:tabs>
        <w:ind w:left="2127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Las </w:t>
      </w:r>
      <w:r w:rsidRPr="009103C6">
        <w:rPr>
          <w:rFonts w:ascii="Arial Narrow" w:hAnsi="Arial Narrow"/>
          <w:i/>
          <w:sz w:val="20"/>
        </w:rPr>
        <w:t>27 ayudas que gestionará el Ministerio de la Presidencia y para las Administraciones Territoriales, a través de la Dirección General de Relaciones con las CCAA y Entes Locales:</w:t>
      </w:r>
    </w:p>
    <w:tbl>
      <w:tblPr>
        <w:tblpPr w:leftFromText="141" w:rightFromText="141" w:vertAnchor="text" w:horzAnchor="margin" w:tblpXSpec="right" w:tblpY="11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1276"/>
      </w:tblGrid>
      <w:tr w:rsidR="007A5AFB" w:rsidRPr="00AD1881" w:rsidTr="007A5AFB">
        <w:trPr>
          <w:tblHeader/>
          <w:tblCellSpacing w:w="15" w:type="dxa"/>
        </w:trPr>
        <w:tc>
          <w:tcPr>
            <w:tcW w:w="7326" w:type="dxa"/>
            <w:shd w:val="clear" w:color="auto" w:fill="1F497D" w:themeFill="text2"/>
            <w:vAlign w:val="center"/>
            <w:hideMark/>
          </w:tcPr>
          <w:p w:rsidR="007A5AFB" w:rsidRPr="0041731A" w:rsidRDefault="007A5AFB" w:rsidP="007A5AFB">
            <w:pPr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</w:rPr>
            </w:pPr>
            <w:r w:rsidRPr="0041731A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</w:rPr>
              <w:t>Entidad-EDUSI</w:t>
            </w:r>
          </w:p>
        </w:tc>
        <w:tc>
          <w:tcPr>
            <w:tcW w:w="1231" w:type="dxa"/>
            <w:shd w:val="clear" w:color="auto" w:fill="1F497D" w:themeFill="text2"/>
            <w:vAlign w:val="center"/>
            <w:hideMark/>
          </w:tcPr>
          <w:p w:rsidR="007A5AFB" w:rsidRPr="0041731A" w:rsidRDefault="007A5AFB" w:rsidP="007A5AFB">
            <w:pPr>
              <w:jc w:val="right"/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</w:rPr>
            </w:pPr>
            <w:r w:rsidRPr="0041731A">
              <w:rPr>
                <w:rFonts w:ascii="Arial Narrow" w:hAnsi="Arial Narrow" w:cs="Times New Roman"/>
                <w:b/>
                <w:bCs/>
                <w:color w:val="FFFFFF" w:themeColor="background1"/>
                <w:sz w:val="20"/>
              </w:rPr>
              <w:t xml:space="preserve"> Ayuda Euros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Vélez - Málaga (Málaga) - EDUSI «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Bic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Vélez».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10.000.000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Palma del Río (Córdoba) - Palma del Río... la Ciudad que Avanza.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Puerto Real (Cádiz)- EDUSI Puerto Real 2022.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Priego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de Córdoba (Córdoba) -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Priego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de Córdoba 2020.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Rota (Cádiz) - EDUSI Rota 2020.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Lucena (Córdoba) - «EDUSI Lucena Cohesionada».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Maracena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(Granada) -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Maracena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Sostenible II.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Carmona (Sevilla) - Impulsa Carmona 2020.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Andújar (Jaén) - Andújar en 3, 2, 1</w:t>
            </w:r>
            <w:proofErr w:type="gram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Armilla (Granada)- Armilla Futura «Innovación Metropolitana».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4.296.975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Lepe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(Huelva) - EDUSI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Lepe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2020.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Ayamonte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(Huelva) -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Ayamonte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Mira al Río.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Roquetas de Mar (Almería) - EDUSI RM2020 definitiva.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10.000.000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Diputación Provincial de Albacete (Albacete) - EDUSI Área Funcional Hellín.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3.095.582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Sant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Boi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de Llobregat (Barcelona) - </w:t>
            </w:r>
            <w:proofErr w:type="gram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CAPACI(</w:t>
            </w:r>
            <w:proofErr w:type="gram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U)DAD, Estrategia DUSI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Sant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Boi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2015-2020.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8.161.772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Onda (Castellón) - EDUSI para el Área Funcional del municipio de  Onda (Castellón).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2.517.509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Almazora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(Castellón) - EDUSI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Almassora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Alcoy (Alicante) - EDUSI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Alcoi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Dema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- Municipio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Alcoi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10.000.000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Calpe (Alicante) - EDUSI Revitalización de Calpe.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3.067.261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Plasencia (Cáceres)- Plasencia crece contigo.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Almendralejo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(Badajoz) - EDUSI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Almendralejo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Arteixo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(La Coruña) - PLAN NOVARTEIXO 2020.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Ayuntamiento de Ferrol (La Coruña) - Ría de Ferrol, </w:t>
            </w:r>
            <w:proofErr w:type="spellStart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Cidade</w:t>
            </w:r>
            <w:proofErr w:type="spellEnd"/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 xml:space="preserve"> 2020.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10.000.000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Ames (La Coruña) - EDUSI Impulsa Ames.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5.000.000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Arucas (Las Palmas) - EDUSI de Arucas.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4.250.000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Santa Cruz de la Palma (Tenerife) - EDUSI Cantón Verde.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2.886.721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Ayuntamiento de Calahorra (La Rioja) - EDUSI Calahorra, dos milenios de futuro.</w:t>
            </w:r>
          </w:p>
        </w:tc>
        <w:tc>
          <w:tcPr>
            <w:tcW w:w="1231" w:type="dxa"/>
            <w:shd w:val="clear" w:color="auto" w:fill="FABF8F" w:themeFill="accent6" w:themeFillTint="99"/>
            <w:vAlign w:val="center"/>
            <w:hideMark/>
          </w:tcPr>
          <w:p w:rsidR="007A5AFB" w:rsidRPr="002D7820" w:rsidRDefault="007A5AFB" w:rsidP="007A5AFB">
            <w:pPr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</w:rPr>
            </w:pPr>
            <w:r w:rsidRPr="002D7820">
              <w:rPr>
                <w:rFonts w:ascii="Arial Narrow" w:hAnsi="Arial Narrow" w:cs="Times New Roman"/>
                <w:color w:val="000000"/>
                <w:sz w:val="18"/>
                <w:szCs w:val="18"/>
              </w:rPr>
              <w:t>1.961.815</w:t>
            </w:r>
          </w:p>
        </w:tc>
      </w:tr>
      <w:tr w:rsidR="007A5AFB" w:rsidRPr="00AD1881" w:rsidTr="007A5AFB">
        <w:trPr>
          <w:tblCellSpacing w:w="15" w:type="dxa"/>
        </w:trPr>
        <w:tc>
          <w:tcPr>
            <w:tcW w:w="7326" w:type="dxa"/>
            <w:shd w:val="clear" w:color="auto" w:fill="1F497D" w:themeFill="text2"/>
            <w:vAlign w:val="center"/>
            <w:hideMark/>
          </w:tcPr>
          <w:p w:rsidR="007A5AFB" w:rsidRPr="0041731A" w:rsidRDefault="007A5AFB" w:rsidP="007A5AFB">
            <w:pPr>
              <w:rPr>
                <w:rFonts w:ascii="Arial Narrow" w:hAnsi="Arial Narrow" w:cs="Times New Roman"/>
                <w:b/>
                <w:color w:val="FFFFFF" w:themeColor="background1"/>
                <w:sz w:val="20"/>
              </w:rPr>
            </w:pPr>
            <w:r w:rsidRPr="0041731A">
              <w:rPr>
                <w:rFonts w:ascii="Arial Narrow" w:hAnsi="Arial Narrow" w:cs="Times New Roman"/>
                <w:b/>
                <w:color w:val="FFFFFF" w:themeColor="background1"/>
                <w:sz w:val="20"/>
              </w:rPr>
              <w:t>TOTAL</w:t>
            </w:r>
          </w:p>
        </w:tc>
        <w:tc>
          <w:tcPr>
            <w:tcW w:w="1231" w:type="dxa"/>
            <w:shd w:val="clear" w:color="auto" w:fill="1F497D" w:themeFill="text2"/>
            <w:vAlign w:val="center"/>
            <w:hideMark/>
          </w:tcPr>
          <w:p w:rsidR="007A5AFB" w:rsidRPr="0041731A" w:rsidRDefault="007A5AFB" w:rsidP="007A5AFB">
            <w:pPr>
              <w:jc w:val="right"/>
              <w:rPr>
                <w:rFonts w:ascii="Arial Narrow" w:hAnsi="Arial Narrow" w:cs="Times New Roman"/>
                <w:b/>
                <w:color w:val="FFFFFF" w:themeColor="background1"/>
                <w:sz w:val="20"/>
              </w:rPr>
            </w:pPr>
            <w:r w:rsidRPr="0041731A">
              <w:rPr>
                <w:rFonts w:ascii="Arial Narrow" w:hAnsi="Arial Narrow" w:cs="Times New Roman"/>
                <w:b/>
                <w:color w:val="FFFFFF" w:themeColor="background1"/>
                <w:sz w:val="20"/>
              </w:rPr>
              <w:t>145.237.635</w:t>
            </w:r>
          </w:p>
        </w:tc>
      </w:tr>
    </w:tbl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7A5AFB" w:rsidRDefault="007A5AFB" w:rsidP="009A382B">
      <w:pPr>
        <w:ind w:left="2127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</w:p>
    <w:p w:rsidR="007A5AFB" w:rsidRDefault="007A5AFB" w:rsidP="009A382B">
      <w:pPr>
        <w:ind w:left="2127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</w:p>
    <w:p w:rsidR="007A5AFB" w:rsidRDefault="007A5AFB" w:rsidP="009A382B">
      <w:pPr>
        <w:ind w:left="2127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</w:p>
    <w:p w:rsidR="002D7820" w:rsidRPr="002D7820" w:rsidRDefault="002D7820" w:rsidP="009A382B">
      <w:pPr>
        <w:ind w:left="2127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2D7820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Selección de las EDUSI </w:t>
      </w: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presentadas por las EELL</w:t>
      </w:r>
    </w:p>
    <w:p w:rsidR="002D7820" w:rsidRDefault="002D7820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D57CB9" w:rsidRPr="007F1FC8" w:rsidRDefault="00A2343D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F1FC8">
        <w:rPr>
          <w:rFonts w:ascii="Arial Narrow" w:hAnsi="Arial Narrow"/>
          <w:color w:val="000000" w:themeColor="text1"/>
          <w:sz w:val="28"/>
          <w:szCs w:val="28"/>
        </w:rPr>
        <w:t xml:space="preserve">Una Comisión de valoración integrada por </w:t>
      </w:r>
      <w:r w:rsidR="00BF03E5" w:rsidRPr="007F1FC8">
        <w:rPr>
          <w:rFonts w:ascii="Arial Narrow" w:hAnsi="Arial Narrow"/>
          <w:color w:val="000000" w:themeColor="text1"/>
          <w:sz w:val="28"/>
          <w:szCs w:val="28"/>
        </w:rPr>
        <w:t>representantes</w:t>
      </w:r>
      <w:r w:rsidRPr="007F1FC8">
        <w:rPr>
          <w:rFonts w:ascii="Arial Narrow" w:hAnsi="Arial Narrow"/>
          <w:color w:val="000000" w:themeColor="text1"/>
          <w:sz w:val="28"/>
          <w:szCs w:val="28"/>
        </w:rPr>
        <w:t xml:space="preserve"> de varios ministerios </w:t>
      </w:r>
      <w:r w:rsidR="00D27080" w:rsidRPr="007F1FC8">
        <w:rPr>
          <w:rFonts w:ascii="Arial Narrow" w:hAnsi="Arial Narrow"/>
          <w:color w:val="000000" w:themeColor="text1"/>
          <w:sz w:val="28"/>
          <w:szCs w:val="28"/>
        </w:rPr>
        <w:t>ha evaluado</w:t>
      </w:r>
      <w:r w:rsidR="00D57CB9" w:rsidRPr="007F1FC8">
        <w:rPr>
          <w:rFonts w:ascii="Arial Narrow" w:hAnsi="Arial Narrow"/>
          <w:color w:val="000000" w:themeColor="text1"/>
          <w:sz w:val="28"/>
          <w:szCs w:val="28"/>
        </w:rPr>
        <w:t xml:space="preserve"> las solicitudes presentadas hasta </w:t>
      </w:r>
      <w:r w:rsidR="00D27080" w:rsidRPr="007F1FC8">
        <w:rPr>
          <w:rFonts w:ascii="Arial Narrow" w:hAnsi="Arial Narrow"/>
          <w:color w:val="000000" w:themeColor="text1"/>
          <w:sz w:val="28"/>
          <w:szCs w:val="28"/>
        </w:rPr>
        <w:t>el</w:t>
      </w:r>
      <w:r w:rsidR="00D57CB9" w:rsidRPr="007F1FC8">
        <w:rPr>
          <w:rFonts w:ascii="Arial Narrow" w:hAnsi="Arial Narrow"/>
          <w:color w:val="000000" w:themeColor="text1"/>
          <w:sz w:val="28"/>
          <w:szCs w:val="28"/>
        </w:rPr>
        <w:t xml:space="preserve"> 15 de diciembre </w:t>
      </w:r>
      <w:r w:rsidR="00D27080" w:rsidRPr="007F1FC8">
        <w:rPr>
          <w:rFonts w:ascii="Arial Narrow" w:hAnsi="Arial Narrow"/>
          <w:color w:val="000000" w:themeColor="text1"/>
          <w:sz w:val="28"/>
          <w:szCs w:val="28"/>
        </w:rPr>
        <w:t>de 201</w:t>
      </w:r>
      <w:r w:rsidR="00F96EF7" w:rsidRPr="007F1FC8">
        <w:rPr>
          <w:rFonts w:ascii="Arial Narrow" w:hAnsi="Arial Narrow"/>
          <w:color w:val="000000" w:themeColor="text1"/>
          <w:sz w:val="28"/>
          <w:szCs w:val="28"/>
        </w:rPr>
        <w:t>6</w:t>
      </w:r>
      <w:r w:rsidR="00D27080" w:rsidRPr="007F1FC8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161367" w:rsidRPr="007F1FC8">
        <w:rPr>
          <w:rFonts w:ascii="Arial Narrow" w:hAnsi="Arial Narrow"/>
          <w:color w:val="000000" w:themeColor="text1"/>
          <w:sz w:val="28"/>
          <w:szCs w:val="28"/>
        </w:rPr>
        <w:t>De</w:t>
      </w:r>
      <w:r w:rsidR="00D57CB9" w:rsidRPr="007F1FC8">
        <w:rPr>
          <w:rFonts w:ascii="Arial Narrow" w:hAnsi="Arial Narrow"/>
          <w:color w:val="000000" w:themeColor="text1"/>
          <w:sz w:val="28"/>
          <w:szCs w:val="28"/>
        </w:rPr>
        <w:t xml:space="preserve"> acuerdo con las bases de la convocatoria, se han seleccionado las estrategias </w:t>
      </w:r>
      <w:r w:rsidR="002E1107" w:rsidRPr="007F1FC8">
        <w:rPr>
          <w:rFonts w:ascii="Arial Narrow" w:hAnsi="Arial Narrow"/>
          <w:color w:val="000000" w:themeColor="text1"/>
          <w:sz w:val="28"/>
          <w:szCs w:val="28"/>
        </w:rPr>
        <w:t>E</w:t>
      </w:r>
      <w:r w:rsidR="00D57CB9" w:rsidRPr="007F1FC8">
        <w:rPr>
          <w:rFonts w:ascii="Arial Narrow" w:hAnsi="Arial Narrow"/>
          <w:color w:val="000000" w:themeColor="text1"/>
          <w:sz w:val="28"/>
          <w:szCs w:val="28"/>
        </w:rPr>
        <w:t>DUSI que, habiendo obtenido una calificación mínima de 50 puntos, obtuvier</w:t>
      </w:r>
      <w:r w:rsidR="00161367" w:rsidRPr="007F1FC8">
        <w:rPr>
          <w:rFonts w:ascii="Arial Narrow" w:hAnsi="Arial Narrow"/>
          <w:color w:val="000000" w:themeColor="text1"/>
          <w:sz w:val="28"/>
          <w:szCs w:val="28"/>
        </w:rPr>
        <w:t>o</w:t>
      </w:r>
      <w:r w:rsidR="00D57CB9" w:rsidRPr="007F1FC8">
        <w:rPr>
          <w:rFonts w:ascii="Arial Narrow" w:hAnsi="Arial Narrow"/>
          <w:color w:val="000000" w:themeColor="text1"/>
          <w:sz w:val="28"/>
          <w:szCs w:val="28"/>
        </w:rPr>
        <w:t xml:space="preserve">n la mayor puntuación hasta absorber el límite de disponibilidad de fondos FEDER en cada comunidad autónoma. </w:t>
      </w:r>
    </w:p>
    <w:p w:rsidR="00161367" w:rsidRPr="007F1FC8" w:rsidRDefault="00161367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61367" w:rsidRPr="007F1FC8" w:rsidRDefault="00161367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F1FC8">
        <w:rPr>
          <w:rFonts w:ascii="Arial Narrow" w:hAnsi="Arial Narrow"/>
          <w:color w:val="000000" w:themeColor="text1"/>
          <w:sz w:val="28"/>
          <w:szCs w:val="28"/>
        </w:rPr>
        <w:t xml:space="preserve">La convocatoria de las estrategias </w:t>
      </w:r>
      <w:r w:rsidR="002E1107" w:rsidRPr="007F1FC8">
        <w:rPr>
          <w:rFonts w:ascii="Arial Narrow" w:hAnsi="Arial Narrow"/>
          <w:color w:val="000000" w:themeColor="text1"/>
          <w:sz w:val="28"/>
          <w:szCs w:val="28"/>
        </w:rPr>
        <w:t>E</w:t>
      </w:r>
      <w:r w:rsidRPr="007F1FC8">
        <w:rPr>
          <w:rFonts w:ascii="Arial Narrow" w:hAnsi="Arial Narrow"/>
          <w:color w:val="000000" w:themeColor="text1"/>
          <w:sz w:val="28"/>
          <w:szCs w:val="28"/>
        </w:rPr>
        <w:t>DUSI supone un reto importante para las entidades locales, no solo por la cantidad de recursos financieros que se destinan a las mismas</w:t>
      </w:r>
      <w:r w:rsidR="00D27080" w:rsidRPr="007F1FC8">
        <w:rPr>
          <w:rFonts w:ascii="Arial Narrow" w:hAnsi="Arial Narrow"/>
          <w:color w:val="000000" w:themeColor="text1"/>
          <w:sz w:val="28"/>
          <w:szCs w:val="28"/>
        </w:rPr>
        <w:t>,</w:t>
      </w:r>
      <w:r w:rsidRPr="007F1FC8">
        <w:rPr>
          <w:rFonts w:ascii="Arial Narrow" w:hAnsi="Arial Narrow"/>
          <w:color w:val="000000" w:themeColor="text1"/>
          <w:sz w:val="28"/>
          <w:szCs w:val="28"/>
        </w:rPr>
        <w:t xml:space="preserve"> sino también por el hecho de tener que presentar una estrategia de desarrollo urbano sostenible e integrado.</w:t>
      </w:r>
    </w:p>
    <w:p w:rsidR="00161367" w:rsidRPr="007F1FC8" w:rsidRDefault="00161367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161367" w:rsidRDefault="00F96EF7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F1FC8">
        <w:rPr>
          <w:rFonts w:ascii="Arial Narrow" w:hAnsi="Arial Narrow"/>
          <w:color w:val="000000" w:themeColor="text1"/>
          <w:sz w:val="28"/>
          <w:szCs w:val="28"/>
        </w:rPr>
        <w:t xml:space="preserve">El </w:t>
      </w:r>
      <w:r w:rsidR="00161367" w:rsidRPr="007F1FC8">
        <w:rPr>
          <w:rFonts w:ascii="Arial Narrow" w:hAnsi="Arial Narrow"/>
          <w:color w:val="000000" w:themeColor="text1"/>
          <w:sz w:val="28"/>
          <w:szCs w:val="28"/>
        </w:rPr>
        <w:t xml:space="preserve">interés de las entidades locales por estas ayudas </w:t>
      </w:r>
      <w:r w:rsidRPr="007F1FC8">
        <w:rPr>
          <w:rFonts w:ascii="Arial Narrow" w:hAnsi="Arial Narrow"/>
          <w:color w:val="000000" w:themeColor="text1"/>
          <w:sz w:val="28"/>
          <w:szCs w:val="28"/>
        </w:rPr>
        <w:t>queda demostrado, ya que en</w:t>
      </w:r>
      <w:r w:rsidR="00161367" w:rsidRPr="007F1FC8">
        <w:rPr>
          <w:rFonts w:ascii="Arial Narrow" w:hAnsi="Arial Narrow"/>
          <w:color w:val="000000" w:themeColor="text1"/>
          <w:sz w:val="28"/>
          <w:szCs w:val="28"/>
        </w:rPr>
        <w:t xml:space="preserve"> la primera convocatoria, el 100% de los municipios </w:t>
      </w:r>
      <w:r w:rsidR="00D27080" w:rsidRPr="007F1FC8">
        <w:rPr>
          <w:rFonts w:ascii="Arial Narrow" w:hAnsi="Arial Narrow"/>
          <w:color w:val="000000" w:themeColor="text1"/>
          <w:sz w:val="28"/>
          <w:szCs w:val="28"/>
        </w:rPr>
        <w:t>con</w:t>
      </w:r>
      <w:r w:rsidR="00161367" w:rsidRPr="007F1FC8">
        <w:rPr>
          <w:rFonts w:ascii="Arial Narrow" w:hAnsi="Arial Narrow"/>
          <w:color w:val="000000" w:themeColor="text1"/>
          <w:sz w:val="28"/>
          <w:szCs w:val="28"/>
        </w:rPr>
        <w:t xml:space="preserve"> más de 50.000 habitantes y el 44% de los que cuentan entre 20.000 y 50.000 </w:t>
      </w:r>
      <w:r w:rsidRPr="007F1FC8">
        <w:rPr>
          <w:rFonts w:ascii="Arial Narrow" w:hAnsi="Arial Narrow"/>
          <w:color w:val="000000" w:themeColor="text1"/>
          <w:sz w:val="28"/>
          <w:szCs w:val="28"/>
        </w:rPr>
        <w:t xml:space="preserve">habitantes </w:t>
      </w:r>
      <w:r w:rsidR="007E253A" w:rsidRPr="007F1FC8">
        <w:rPr>
          <w:rFonts w:ascii="Arial Narrow" w:hAnsi="Arial Narrow"/>
          <w:color w:val="000000" w:themeColor="text1"/>
          <w:sz w:val="28"/>
          <w:szCs w:val="28"/>
        </w:rPr>
        <w:t xml:space="preserve">presentaron </w:t>
      </w:r>
      <w:r w:rsidR="00D27080" w:rsidRPr="007F1FC8">
        <w:rPr>
          <w:rFonts w:ascii="Arial Narrow" w:hAnsi="Arial Narrow"/>
          <w:color w:val="000000" w:themeColor="text1"/>
          <w:sz w:val="28"/>
          <w:szCs w:val="28"/>
        </w:rPr>
        <w:t xml:space="preserve">sus </w:t>
      </w:r>
      <w:r w:rsidR="007E253A" w:rsidRPr="007F1FC8">
        <w:rPr>
          <w:rFonts w:ascii="Arial Narrow" w:hAnsi="Arial Narrow"/>
          <w:color w:val="000000" w:themeColor="text1"/>
          <w:sz w:val="28"/>
          <w:szCs w:val="28"/>
        </w:rPr>
        <w:t xml:space="preserve">estrategias de desarrollo urbano sostenible </w:t>
      </w:r>
      <w:r w:rsidR="00D27080" w:rsidRPr="007F1FC8">
        <w:rPr>
          <w:rFonts w:ascii="Arial Narrow" w:hAnsi="Arial Narrow"/>
          <w:color w:val="000000" w:themeColor="text1"/>
          <w:sz w:val="28"/>
          <w:szCs w:val="28"/>
        </w:rPr>
        <w:t>e</w:t>
      </w:r>
      <w:r w:rsidR="007E253A" w:rsidRPr="007F1FC8">
        <w:rPr>
          <w:rFonts w:ascii="Arial Narrow" w:hAnsi="Arial Narrow"/>
          <w:color w:val="000000" w:themeColor="text1"/>
          <w:sz w:val="28"/>
          <w:szCs w:val="28"/>
        </w:rPr>
        <w:t xml:space="preserve"> integrado.</w:t>
      </w:r>
    </w:p>
    <w:p w:rsidR="007F1FC8" w:rsidRPr="007F1FC8" w:rsidRDefault="007F1FC8" w:rsidP="009A382B">
      <w:pPr>
        <w:ind w:left="2127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D27080" w:rsidRDefault="00D27080" w:rsidP="009A382B">
      <w:pPr>
        <w:ind w:left="212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La dotación de la </w:t>
      </w:r>
      <w:r w:rsidR="007E253A">
        <w:rPr>
          <w:rFonts w:ascii="Arial Narrow" w:hAnsi="Arial Narrow"/>
          <w:color w:val="333333"/>
          <w:sz w:val="28"/>
          <w:szCs w:val="28"/>
        </w:rPr>
        <w:t>primera convocatoria fue de 730 millones de euros, de los que quedaron por adjudicar 19,58, que se suman ahora a la segunda convocatoria</w:t>
      </w:r>
      <w:r>
        <w:rPr>
          <w:rFonts w:ascii="Arial Narrow" w:hAnsi="Arial Narrow"/>
          <w:color w:val="333333"/>
          <w:sz w:val="28"/>
          <w:szCs w:val="28"/>
        </w:rPr>
        <w:t xml:space="preserve"> aprobada hoy, alcanzando </w:t>
      </w:r>
      <w:r w:rsidR="00736DE3">
        <w:rPr>
          <w:rFonts w:ascii="Arial Narrow" w:hAnsi="Arial Narrow"/>
          <w:color w:val="333333"/>
          <w:sz w:val="28"/>
          <w:szCs w:val="28"/>
        </w:rPr>
        <w:t xml:space="preserve">esta última </w:t>
      </w:r>
      <w:r>
        <w:rPr>
          <w:rFonts w:ascii="Arial Narrow" w:hAnsi="Arial Narrow"/>
          <w:color w:val="333333"/>
          <w:sz w:val="28"/>
          <w:szCs w:val="28"/>
        </w:rPr>
        <w:t>los 301,4 millones de euros</w:t>
      </w:r>
      <w:r w:rsidR="007E253A">
        <w:rPr>
          <w:rFonts w:ascii="Arial Narrow" w:hAnsi="Arial Narrow"/>
          <w:color w:val="333333"/>
          <w:sz w:val="28"/>
          <w:szCs w:val="28"/>
        </w:rPr>
        <w:t>.</w:t>
      </w:r>
    </w:p>
    <w:p w:rsidR="00D27080" w:rsidRDefault="00D27080" w:rsidP="009A382B">
      <w:pPr>
        <w:ind w:left="2127"/>
        <w:jc w:val="both"/>
        <w:rPr>
          <w:rFonts w:ascii="Arial Narrow" w:hAnsi="Arial Narrow"/>
          <w:color w:val="333333"/>
          <w:sz w:val="28"/>
          <w:szCs w:val="28"/>
        </w:rPr>
      </w:pPr>
    </w:p>
    <w:p w:rsidR="007E253A" w:rsidRDefault="007E253A" w:rsidP="009A382B">
      <w:pPr>
        <w:ind w:left="2127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t xml:space="preserve">En total, las dos convocatorias, </w:t>
      </w:r>
      <w:r w:rsidR="00D27080">
        <w:rPr>
          <w:rFonts w:ascii="Arial Narrow" w:hAnsi="Arial Narrow"/>
          <w:color w:val="333333"/>
          <w:sz w:val="28"/>
          <w:szCs w:val="28"/>
        </w:rPr>
        <w:t xml:space="preserve">la </w:t>
      </w:r>
      <w:r w:rsidR="00736DE3">
        <w:rPr>
          <w:rFonts w:ascii="Arial Narrow" w:hAnsi="Arial Narrow"/>
          <w:color w:val="333333"/>
          <w:sz w:val="28"/>
          <w:szCs w:val="28"/>
        </w:rPr>
        <w:t>primera y la segunda</w:t>
      </w:r>
      <w:r w:rsidR="00D27080">
        <w:rPr>
          <w:rFonts w:ascii="Arial Narrow" w:hAnsi="Arial Narrow"/>
          <w:color w:val="333333"/>
          <w:sz w:val="28"/>
          <w:szCs w:val="28"/>
        </w:rPr>
        <w:t xml:space="preserve"> aprobada </w:t>
      </w:r>
      <w:r w:rsidR="00F96EF7">
        <w:rPr>
          <w:rFonts w:ascii="Arial Narrow" w:hAnsi="Arial Narrow"/>
          <w:color w:val="333333"/>
          <w:sz w:val="28"/>
          <w:szCs w:val="28"/>
        </w:rPr>
        <w:t>ahora</w:t>
      </w:r>
      <w:r w:rsidR="00D27080">
        <w:rPr>
          <w:rFonts w:ascii="Arial Narrow" w:hAnsi="Arial Narrow"/>
          <w:color w:val="333333"/>
          <w:sz w:val="28"/>
          <w:szCs w:val="28"/>
        </w:rPr>
        <w:t xml:space="preserve">, </w:t>
      </w:r>
      <w:r w:rsidR="00F96EF7">
        <w:rPr>
          <w:rFonts w:ascii="Arial Narrow" w:hAnsi="Arial Narrow"/>
          <w:color w:val="333333"/>
          <w:sz w:val="28"/>
          <w:szCs w:val="28"/>
        </w:rPr>
        <w:t xml:space="preserve">suman ayudas por importe de </w:t>
      </w:r>
      <w:r>
        <w:rPr>
          <w:rFonts w:ascii="Arial Narrow" w:hAnsi="Arial Narrow"/>
          <w:color w:val="333333"/>
          <w:sz w:val="28"/>
          <w:szCs w:val="28"/>
        </w:rPr>
        <w:t xml:space="preserve">1.013 millones de euros de </w:t>
      </w:r>
      <w:r w:rsidR="00F96EF7">
        <w:rPr>
          <w:rFonts w:ascii="Arial Narrow" w:hAnsi="Arial Narrow"/>
          <w:color w:val="333333"/>
          <w:sz w:val="28"/>
          <w:szCs w:val="28"/>
        </w:rPr>
        <w:t>fondos</w:t>
      </w:r>
      <w:r>
        <w:rPr>
          <w:rFonts w:ascii="Arial Narrow" w:hAnsi="Arial Narrow"/>
          <w:color w:val="333333"/>
          <w:sz w:val="28"/>
          <w:szCs w:val="28"/>
        </w:rPr>
        <w:t xml:space="preserve"> FEDER </w:t>
      </w:r>
      <w:r w:rsidR="00F96EF7">
        <w:rPr>
          <w:rFonts w:ascii="Arial Narrow" w:hAnsi="Arial Narrow"/>
          <w:color w:val="333333"/>
          <w:sz w:val="28"/>
          <w:szCs w:val="28"/>
        </w:rPr>
        <w:t xml:space="preserve">destinados a </w:t>
      </w:r>
      <w:r>
        <w:rPr>
          <w:rFonts w:ascii="Arial Narrow" w:hAnsi="Arial Narrow"/>
          <w:color w:val="333333"/>
          <w:sz w:val="28"/>
          <w:szCs w:val="28"/>
        </w:rPr>
        <w:t xml:space="preserve"> proyectos sostenibles.</w:t>
      </w:r>
    </w:p>
    <w:p w:rsidR="00161367" w:rsidRDefault="00161367" w:rsidP="009A382B">
      <w:pPr>
        <w:ind w:left="2127"/>
        <w:jc w:val="both"/>
        <w:rPr>
          <w:rFonts w:ascii="Arial Narrow" w:hAnsi="Arial Narrow"/>
          <w:color w:val="333333"/>
          <w:sz w:val="28"/>
          <w:szCs w:val="28"/>
        </w:rPr>
      </w:pPr>
    </w:p>
    <w:p w:rsidR="006A37E8" w:rsidRDefault="006A37E8" w:rsidP="009A382B">
      <w:pPr>
        <w:ind w:left="2127"/>
        <w:jc w:val="both"/>
        <w:rPr>
          <w:rFonts w:ascii="Arial Narrow" w:hAnsi="Arial Narrow"/>
          <w:b/>
          <w:sz w:val="52"/>
          <w:szCs w:val="52"/>
        </w:rPr>
      </w:pPr>
    </w:p>
    <w:p w:rsidR="002D7820" w:rsidRDefault="002D7820" w:rsidP="002D7820">
      <w:pPr>
        <w:tabs>
          <w:tab w:val="left" w:pos="2268"/>
        </w:tabs>
        <w:ind w:left="2127"/>
      </w:pPr>
    </w:p>
    <w:p w:rsidR="002D7820" w:rsidRDefault="002D7820" w:rsidP="002D7820">
      <w:pPr>
        <w:tabs>
          <w:tab w:val="left" w:pos="2268"/>
        </w:tabs>
        <w:ind w:left="2127"/>
      </w:pPr>
    </w:p>
    <w:p w:rsidR="002D7820" w:rsidRDefault="002D7820" w:rsidP="002D7820">
      <w:pPr>
        <w:tabs>
          <w:tab w:val="left" w:pos="2268"/>
        </w:tabs>
        <w:ind w:left="2127"/>
      </w:pPr>
    </w:p>
    <w:p w:rsidR="002D7820" w:rsidRDefault="002D7820" w:rsidP="002D7820">
      <w:pPr>
        <w:tabs>
          <w:tab w:val="left" w:pos="2268"/>
        </w:tabs>
        <w:ind w:left="2127"/>
      </w:pPr>
    </w:p>
    <w:p w:rsidR="002D7820" w:rsidRPr="002D7820" w:rsidRDefault="004016BA" w:rsidP="002D7820">
      <w:pPr>
        <w:tabs>
          <w:tab w:val="left" w:pos="2268"/>
        </w:tabs>
        <w:ind w:left="2127"/>
        <w:jc w:val="both"/>
        <w:rPr>
          <w:rFonts w:ascii="Arial Narrow" w:hAnsi="Arial Narrow"/>
          <w:b/>
          <w:sz w:val="28"/>
          <w:szCs w:val="28"/>
        </w:rPr>
      </w:pPr>
      <w:hyperlink r:id="rId8" w:history="1">
        <w:r w:rsidR="002D7820" w:rsidRPr="002D7820">
          <w:rPr>
            <w:rStyle w:val="Hipervnculo"/>
            <w:rFonts w:ascii="Arial Narrow" w:hAnsi="Arial Narrow"/>
            <w:b/>
            <w:sz w:val="28"/>
            <w:szCs w:val="28"/>
          </w:rPr>
          <w:t xml:space="preserve">Acceder a </w:t>
        </w:r>
        <w:proofErr w:type="gramStart"/>
        <w:r w:rsidR="002D7820" w:rsidRPr="002D7820">
          <w:rPr>
            <w:rStyle w:val="Hipervnculo"/>
            <w:rFonts w:ascii="Arial Narrow" w:hAnsi="Arial Narrow"/>
            <w:b/>
            <w:sz w:val="28"/>
            <w:szCs w:val="28"/>
          </w:rPr>
          <w:t>la resolución con las ayudas EDUSI y relación completa de EELL seleccionadas y no seleccionadas</w:t>
        </w:r>
        <w:proofErr w:type="gramEnd"/>
      </w:hyperlink>
      <w:r w:rsidR="002D7820" w:rsidRPr="002D7820">
        <w:rPr>
          <w:sz w:val="28"/>
          <w:szCs w:val="28"/>
        </w:rPr>
        <w:t xml:space="preserve"> </w:t>
      </w:r>
      <w:r w:rsidR="002D7820" w:rsidRPr="002D7820">
        <w:rPr>
          <w:rFonts w:ascii="Arial Narrow" w:hAnsi="Arial Narrow"/>
          <w:b/>
          <w:sz w:val="28"/>
          <w:szCs w:val="28"/>
        </w:rPr>
        <w:t xml:space="preserve"> </w:t>
      </w:r>
    </w:p>
    <w:p w:rsidR="00BF03E5" w:rsidRDefault="00BF03E5" w:rsidP="00736DE3">
      <w:pPr>
        <w:tabs>
          <w:tab w:val="left" w:pos="2268"/>
        </w:tabs>
        <w:ind w:left="2127"/>
        <w:rPr>
          <w:rFonts w:ascii="Arial Narrow" w:hAnsi="Arial Narrow"/>
          <w:b/>
          <w:sz w:val="32"/>
          <w:szCs w:val="32"/>
        </w:rPr>
      </w:pPr>
    </w:p>
    <w:p w:rsidR="009103C6" w:rsidRDefault="009103C6" w:rsidP="002A78E2">
      <w:pPr>
        <w:tabs>
          <w:tab w:val="left" w:pos="2268"/>
        </w:tabs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103C6" w:rsidRDefault="009103C6" w:rsidP="002A78E2">
      <w:pPr>
        <w:tabs>
          <w:tab w:val="left" w:pos="2268"/>
        </w:tabs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103C6" w:rsidRDefault="009103C6" w:rsidP="002A78E2">
      <w:pPr>
        <w:tabs>
          <w:tab w:val="left" w:pos="2268"/>
        </w:tabs>
        <w:ind w:left="2127"/>
        <w:jc w:val="both"/>
        <w:rPr>
          <w:rFonts w:ascii="Arial Narrow" w:hAnsi="Arial Narrow"/>
          <w:b/>
          <w:sz w:val="28"/>
          <w:szCs w:val="28"/>
          <w:u w:val="single"/>
        </w:rPr>
      </w:pPr>
    </w:p>
    <w:sectPr w:rsidR="009103C6" w:rsidSect="002D78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849" w:bottom="1701" w:left="346" w:header="284" w:footer="177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5D" w:rsidRDefault="001F765D">
      <w:r>
        <w:separator/>
      </w:r>
    </w:p>
  </w:endnote>
  <w:endnote w:type="continuationSeparator" w:id="0">
    <w:p w:rsidR="001F765D" w:rsidRDefault="001F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9" w:rsidRDefault="004016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05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529" w:rsidRDefault="006F05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Pr="009A382B" w:rsidRDefault="006F052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6F0529" w:rsidRDefault="006F0529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9A382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</w:t>
          </w:r>
          <w:r w:rsidR="006F0529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4016BA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4016BA">
            <w:rPr>
              <w:sz w:val="20"/>
            </w:rPr>
            <w:fldChar w:fldCharType="separate"/>
          </w:r>
          <w:r w:rsidR="00120E2A">
            <w:rPr>
              <w:noProof/>
              <w:sz w:val="20"/>
            </w:rPr>
            <w:t>2</w:t>
          </w:r>
          <w:r w:rsidR="004016BA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4016BA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4016BA">
            <w:rPr>
              <w:sz w:val="20"/>
            </w:rPr>
            <w:fldChar w:fldCharType="separate"/>
          </w:r>
          <w:r w:rsidR="00120E2A">
            <w:rPr>
              <w:noProof/>
              <w:sz w:val="20"/>
            </w:rPr>
            <w:t>3</w:t>
          </w:r>
          <w:r w:rsidR="004016BA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</w:t>
          </w:r>
          <w:r w:rsidR="00B81427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</w:t>
          </w:r>
          <w:hyperlink w:history="1">
            <w:r w:rsidR="009A382B"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Default="006F0529"/>
      </w:tc>
    </w:tr>
  </w:tbl>
  <w:p w:rsidR="006F0529" w:rsidRDefault="006F0529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6F0529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Default="006F0529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jc w:val="center"/>
            <w:rPr>
              <w:rFonts w:ascii="Arial Narrow" w:hAnsi="Arial Narrow"/>
              <w:sz w:val="18"/>
            </w:rPr>
          </w:pPr>
        </w:p>
        <w:p w:rsidR="006F0529" w:rsidRDefault="006F0529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RPr="00563534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4016BA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4016BA">
            <w:rPr>
              <w:sz w:val="20"/>
            </w:rPr>
            <w:fldChar w:fldCharType="separate"/>
          </w:r>
          <w:r w:rsidR="00120E2A">
            <w:rPr>
              <w:noProof/>
              <w:sz w:val="20"/>
            </w:rPr>
            <w:t>1</w:t>
          </w:r>
          <w:r w:rsidR="004016BA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4016BA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4016BA">
            <w:rPr>
              <w:sz w:val="20"/>
            </w:rPr>
            <w:fldChar w:fldCharType="separate"/>
          </w:r>
          <w:r w:rsidR="00120E2A">
            <w:rPr>
              <w:noProof/>
              <w:sz w:val="20"/>
            </w:rPr>
            <w:t>3</w:t>
          </w:r>
          <w:r w:rsidR="004016BA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Pr="00563534" w:rsidRDefault="009A382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Pr="00563534" w:rsidRDefault="006F0529"/>
      </w:tc>
    </w:tr>
  </w:tbl>
  <w:p w:rsidR="006F0529" w:rsidRPr="00563534" w:rsidRDefault="006F0529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5D" w:rsidRDefault="001F765D">
      <w:r>
        <w:separator/>
      </w:r>
    </w:p>
  </w:footnote>
  <w:footnote w:type="continuationSeparator" w:id="0">
    <w:p w:rsidR="001F765D" w:rsidRDefault="001F7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6F0529" w:rsidRDefault="006F0529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57039284" r:id="rId2"/>
            </w:object>
          </w:r>
        </w:p>
      </w:tc>
      <w:tc>
        <w:tcPr>
          <w:tcW w:w="7584" w:type="dxa"/>
          <w:vMerge w:val="restart"/>
        </w:tcPr>
        <w:p w:rsidR="006F0529" w:rsidRDefault="006F0529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6F0529" w:rsidRDefault="006F0529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9A382B">
            <w:rPr>
              <w:rFonts w:ascii="Gill Sans MT" w:hAnsi="Gill Sans MT"/>
              <w:sz w:val="22"/>
            </w:rPr>
            <w:t>LA PRESIDENCIA</w:t>
          </w:r>
        </w:p>
        <w:p w:rsidR="006F0529" w:rsidRDefault="006F0529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9A382B">
            <w:rPr>
              <w:rFonts w:ascii="Gill Sans MT" w:hAnsi="Gill Sans MT"/>
              <w:sz w:val="22"/>
            </w:rPr>
            <w:t xml:space="preserve">PARA LAS </w:t>
          </w:r>
          <w:r>
            <w:rPr>
              <w:rFonts w:ascii="Gill Sans MT" w:hAnsi="Gill Sans MT"/>
              <w:sz w:val="22"/>
            </w:rPr>
            <w:t xml:space="preserve">ADMINISTRACIONES </w:t>
          </w:r>
          <w:r w:rsidR="009A382B">
            <w:rPr>
              <w:rFonts w:ascii="Gill Sans MT" w:hAnsi="Gill Sans MT"/>
              <w:sz w:val="22"/>
            </w:rPr>
            <w:t>TERRITORIALES</w:t>
          </w:r>
        </w:p>
      </w:tc>
      <w:tc>
        <w:tcPr>
          <w:tcW w:w="3473" w:type="dxa"/>
          <w:vAlign w:val="center"/>
        </w:tcPr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2D7820" w:rsidRDefault="002D7820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2D7820" w:rsidRDefault="002D7820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2D7820" w:rsidRDefault="002D7820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09D312A1"/>
    <w:multiLevelType w:val="hybridMultilevel"/>
    <w:tmpl w:val="ADEE0854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4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29"/>
  </w:num>
  <w:num w:numId="5">
    <w:abstractNumId w:val="0"/>
  </w:num>
  <w:num w:numId="6">
    <w:abstractNumId w:val="1"/>
  </w:num>
  <w:num w:numId="7">
    <w:abstractNumId w:val="25"/>
  </w:num>
  <w:num w:numId="8">
    <w:abstractNumId w:val="7"/>
  </w:num>
  <w:num w:numId="9">
    <w:abstractNumId w:val="9"/>
  </w:num>
  <w:num w:numId="10">
    <w:abstractNumId w:val="11"/>
  </w:num>
  <w:num w:numId="11">
    <w:abstractNumId w:val="16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21"/>
  </w:num>
  <w:num w:numId="17">
    <w:abstractNumId w:val="6"/>
  </w:num>
  <w:num w:numId="18">
    <w:abstractNumId w:val="27"/>
  </w:num>
  <w:num w:numId="19">
    <w:abstractNumId w:val="12"/>
  </w:num>
  <w:num w:numId="20">
    <w:abstractNumId w:val="20"/>
  </w:num>
  <w:num w:numId="21">
    <w:abstractNumId w:val="28"/>
  </w:num>
  <w:num w:numId="22">
    <w:abstractNumId w:val="22"/>
  </w:num>
  <w:num w:numId="23">
    <w:abstractNumId w:val="19"/>
  </w:num>
  <w:num w:numId="24">
    <w:abstractNumId w:val="18"/>
  </w:num>
  <w:num w:numId="25">
    <w:abstractNumId w:val="23"/>
  </w:num>
  <w:num w:numId="26">
    <w:abstractNumId w:val="15"/>
  </w:num>
  <w:num w:numId="27">
    <w:abstractNumId w:val="24"/>
  </w:num>
  <w:num w:numId="28">
    <w:abstractNumId w:val="17"/>
  </w:num>
  <w:num w:numId="29">
    <w:abstractNumId w:val="4"/>
  </w:num>
  <w:num w:numId="30">
    <w:abstractNumId w:val="26"/>
  </w:num>
  <w:num w:numId="31">
    <w:abstractNumId w:val="3"/>
  </w:num>
  <w:num w:numId="32">
    <w:abstractNumId w:val="30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5265F"/>
    <w:rsid w:val="00071994"/>
    <w:rsid w:val="000A7BEA"/>
    <w:rsid w:val="000C1117"/>
    <w:rsid w:val="000C7FA0"/>
    <w:rsid w:val="000D1A2A"/>
    <w:rsid w:val="000E1C2A"/>
    <w:rsid w:val="000E2AD6"/>
    <w:rsid w:val="000E5254"/>
    <w:rsid w:val="000E65B4"/>
    <w:rsid w:val="000F15DD"/>
    <w:rsid w:val="00103EB4"/>
    <w:rsid w:val="00110187"/>
    <w:rsid w:val="00120E2A"/>
    <w:rsid w:val="00134A12"/>
    <w:rsid w:val="00153EFF"/>
    <w:rsid w:val="00161367"/>
    <w:rsid w:val="001630B7"/>
    <w:rsid w:val="001778F0"/>
    <w:rsid w:val="0019632B"/>
    <w:rsid w:val="001964EB"/>
    <w:rsid w:val="001A1444"/>
    <w:rsid w:val="001A33CB"/>
    <w:rsid w:val="001A4BA9"/>
    <w:rsid w:val="001B199C"/>
    <w:rsid w:val="001B25EB"/>
    <w:rsid w:val="001B64DE"/>
    <w:rsid w:val="001C41A3"/>
    <w:rsid w:val="001C532F"/>
    <w:rsid w:val="001C6091"/>
    <w:rsid w:val="001D12ED"/>
    <w:rsid w:val="001D18EC"/>
    <w:rsid w:val="001E1548"/>
    <w:rsid w:val="001F765D"/>
    <w:rsid w:val="002024A4"/>
    <w:rsid w:val="00207791"/>
    <w:rsid w:val="0021516E"/>
    <w:rsid w:val="00223E48"/>
    <w:rsid w:val="00224944"/>
    <w:rsid w:val="0023679A"/>
    <w:rsid w:val="00236989"/>
    <w:rsid w:val="002412DD"/>
    <w:rsid w:val="002421FC"/>
    <w:rsid w:val="00244954"/>
    <w:rsid w:val="00247E66"/>
    <w:rsid w:val="00256ECC"/>
    <w:rsid w:val="00261E77"/>
    <w:rsid w:val="00263A9E"/>
    <w:rsid w:val="00281B2E"/>
    <w:rsid w:val="002A2626"/>
    <w:rsid w:val="002A27E8"/>
    <w:rsid w:val="002A319D"/>
    <w:rsid w:val="002A551E"/>
    <w:rsid w:val="002A78E2"/>
    <w:rsid w:val="002C4EFC"/>
    <w:rsid w:val="002D7820"/>
    <w:rsid w:val="002E1107"/>
    <w:rsid w:val="002E1B57"/>
    <w:rsid w:val="002E7C5F"/>
    <w:rsid w:val="002F0AE6"/>
    <w:rsid w:val="002F3004"/>
    <w:rsid w:val="002F42A1"/>
    <w:rsid w:val="003020F4"/>
    <w:rsid w:val="00322582"/>
    <w:rsid w:val="00353F88"/>
    <w:rsid w:val="003708A9"/>
    <w:rsid w:val="00374331"/>
    <w:rsid w:val="00391C0A"/>
    <w:rsid w:val="003A0090"/>
    <w:rsid w:val="003A06DC"/>
    <w:rsid w:val="003C3F4F"/>
    <w:rsid w:val="003E1C05"/>
    <w:rsid w:val="003E1CD6"/>
    <w:rsid w:val="003F6CF4"/>
    <w:rsid w:val="004016BA"/>
    <w:rsid w:val="004116F6"/>
    <w:rsid w:val="00412903"/>
    <w:rsid w:val="0041731A"/>
    <w:rsid w:val="00421BEA"/>
    <w:rsid w:val="00440100"/>
    <w:rsid w:val="004656EE"/>
    <w:rsid w:val="004921A5"/>
    <w:rsid w:val="0049543F"/>
    <w:rsid w:val="004B3D4B"/>
    <w:rsid w:val="004C13E6"/>
    <w:rsid w:val="004C5C74"/>
    <w:rsid w:val="004D06B4"/>
    <w:rsid w:val="004D3E2C"/>
    <w:rsid w:val="004D55CE"/>
    <w:rsid w:val="00500E8F"/>
    <w:rsid w:val="005413C8"/>
    <w:rsid w:val="0054140D"/>
    <w:rsid w:val="00563534"/>
    <w:rsid w:val="00565B42"/>
    <w:rsid w:val="0057406C"/>
    <w:rsid w:val="00574754"/>
    <w:rsid w:val="005945F6"/>
    <w:rsid w:val="005A6181"/>
    <w:rsid w:val="005B2EDF"/>
    <w:rsid w:val="005C67F2"/>
    <w:rsid w:val="005E5D1E"/>
    <w:rsid w:val="005F531E"/>
    <w:rsid w:val="00606058"/>
    <w:rsid w:val="0060711C"/>
    <w:rsid w:val="00615EB9"/>
    <w:rsid w:val="00624D9C"/>
    <w:rsid w:val="00637899"/>
    <w:rsid w:val="0066570B"/>
    <w:rsid w:val="00667EE8"/>
    <w:rsid w:val="006842EC"/>
    <w:rsid w:val="006A37E8"/>
    <w:rsid w:val="006A5D87"/>
    <w:rsid w:val="006A5F53"/>
    <w:rsid w:val="006C0F7F"/>
    <w:rsid w:val="006C14D9"/>
    <w:rsid w:val="006C7E93"/>
    <w:rsid w:val="006D1DD3"/>
    <w:rsid w:val="006F0529"/>
    <w:rsid w:val="0070663F"/>
    <w:rsid w:val="00722701"/>
    <w:rsid w:val="00732210"/>
    <w:rsid w:val="00735798"/>
    <w:rsid w:val="0073681D"/>
    <w:rsid w:val="00736BF9"/>
    <w:rsid w:val="00736DE3"/>
    <w:rsid w:val="00743BCE"/>
    <w:rsid w:val="00745DD4"/>
    <w:rsid w:val="0075241F"/>
    <w:rsid w:val="007567FD"/>
    <w:rsid w:val="00761150"/>
    <w:rsid w:val="00767109"/>
    <w:rsid w:val="00774547"/>
    <w:rsid w:val="00777DAA"/>
    <w:rsid w:val="00795D69"/>
    <w:rsid w:val="007A5AFB"/>
    <w:rsid w:val="007D35ED"/>
    <w:rsid w:val="007D7FB0"/>
    <w:rsid w:val="007E253A"/>
    <w:rsid w:val="007F1FC8"/>
    <w:rsid w:val="007F3868"/>
    <w:rsid w:val="00810BF1"/>
    <w:rsid w:val="00813F4A"/>
    <w:rsid w:val="00814F1E"/>
    <w:rsid w:val="00817FFE"/>
    <w:rsid w:val="00820F6F"/>
    <w:rsid w:val="00837699"/>
    <w:rsid w:val="00846B86"/>
    <w:rsid w:val="0085155F"/>
    <w:rsid w:val="00861B9B"/>
    <w:rsid w:val="00870FC2"/>
    <w:rsid w:val="00873C47"/>
    <w:rsid w:val="008833B2"/>
    <w:rsid w:val="0089127E"/>
    <w:rsid w:val="008A5360"/>
    <w:rsid w:val="008A68DE"/>
    <w:rsid w:val="008B4788"/>
    <w:rsid w:val="008B6A31"/>
    <w:rsid w:val="008E5658"/>
    <w:rsid w:val="008F3950"/>
    <w:rsid w:val="00901A78"/>
    <w:rsid w:val="009103C6"/>
    <w:rsid w:val="00916DB0"/>
    <w:rsid w:val="0092196A"/>
    <w:rsid w:val="00923914"/>
    <w:rsid w:val="00931B78"/>
    <w:rsid w:val="009429BA"/>
    <w:rsid w:val="00944220"/>
    <w:rsid w:val="009510DC"/>
    <w:rsid w:val="0097380E"/>
    <w:rsid w:val="009774E2"/>
    <w:rsid w:val="00991E74"/>
    <w:rsid w:val="009A382B"/>
    <w:rsid w:val="009C1BBD"/>
    <w:rsid w:val="009C6577"/>
    <w:rsid w:val="009E4934"/>
    <w:rsid w:val="00A03410"/>
    <w:rsid w:val="00A0758E"/>
    <w:rsid w:val="00A156D6"/>
    <w:rsid w:val="00A15B16"/>
    <w:rsid w:val="00A2343D"/>
    <w:rsid w:val="00A567E7"/>
    <w:rsid w:val="00A65ADD"/>
    <w:rsid w:val="00A6664C"/>
    <w:rsid w:val="00A80EEE"/>
    <w:rsid w:val="00AA37F8"/>
    <w:rsid w:val="00AB566B"/>
    <w:rsid w:val="00AB72EA"/>
    <w:rsid w:val="00AF6685"/>
    <w:rsid w:val="00B107C7"/>
    <w:rsid w:val="00B16649"/>
    <w:rsid w:val="00B4057B"/>
    <w:rsid w:val="00B50FF9"/>
    <w:rsid w:val="00B51910"/>
    <w:rsid w:val="00B530E9"/>
    <w:rsid w:val="00B615B5"/>
    <w:rsid w:val="00B71CF5"/>
    <w:rsid w:val="00B81427"/>
    <w:rsid w:val="00B81B0B"/>
    <w:rsid w:val="00B86B3D"/>
    <w:rsid w:val="00BA2961"/>
    <w:rsid w:val="00BB55D9"/>
    <w:rsid w:val="00BC5471"/>
    <w:rsid w:val="00BC5D55"/>
    <w:rsid w:val="00BE3384"/>
    <w:rsid w:val="00BF03E5"/>
    <w:rsid w:val="00BF1296"/>
    <w:rsid w:val="00C0137C"/>
    <w:rsid w:val="00C10DDF"/>
    <w:rsid w:val="00C13155"/>
    <w:rsid w:val="00C1760F"/>
    <w:rsid w:val="00C17A1E"/>
    <w:rsid w:val="00C207F2"/>
    <w:rsid w:val="00C24429"/>
    <w:rsid w:val="00C343A9"/>
    <w:rsid w:val="00C44FE6"/>
    <w:rsid w:val="00C54C70"/>
    <w:rsid w:val="00C56417"/>
    <w:rsid w:val="00C6591F"/>
    <w:rsid w:val="00C73A7A"/>
    <w:rsid w:val="00C73EF2"/>
    <w:rsid w:val="00C9522E"/>
    <w:rsid w:val="00CB149A"/>
    <w:rsid w:val="00CC359B"/>
    <w:rsid w:val="00CD4CC5"/>
    <w:rsid w:val="00CF609F"/>
    <w:rsid w:val="00D00764"/>
    <w:rsid w:val="00D17993"/>
    <w:rsid w:val="00D23013"/>
    <w:rsid w:val="00D27080"/>
    <w:rsid w:val="00D31CEC"/>
    <w:rsid w:val="00D41B9E"/>
    <w:rsid w:val="00D42800"/>
    <w:rsid w:val="00D5402A"/>
    <w:rsid w:val="00D5446A"/>
    <w:rsid w:val="00D57CB9"/>
    <w:rsid w:val="00D8472E"/>
    <w:rsid w:val="00D857E9"/>
    <w:rsid w:val="00D94642"/>
    <w:rsid w:val="00DB0CC3"/>
    <w:rsid w:val="00DB27E1"/>
    <w:rsid w:val="00DC1CAA"/>
    <w:rsid w:val="00DE7D66"/>
    <w:rsid w:val="00E03EDC"/>
    <w:rsid w:val="00E2208F"/>
    <w:rsid w:val="00E23CFE"/>
    <w:rsid w:val="00E33B3F"/>
    <w:rsid w:val="00E43FFF"/>
    <w:rsid w:val="00E539DA"/>
    <w:rsid w:val="00E551C0"/>
    <w:rsid w:val="00E64686"/>
    <w:rsid w:val="00E66000"/>
    <w:rsid w:val="00E672AA"/>
    <w:rsid w:val="00E6774F"/>
    <w:rsid w:val="00E71AAF"/>
    <w:rsid w:val="00E76BF4"/>
    <w:rsid w:val="00E80573"/>
    <w:rsid w:val="00E90278"/>
    <w:rsid w:val="00E917F9"/>
    <w:rsid w:val="00EA6868"/>
    <w:rsid w:val="00EB0BCB"/>
    <w:rsid w:val="00EB36D9"/>
    <w:rsid w:val="00EB638A"/>
    <w:rsid w:val="00ED68AD"/>
    <w:rsid w:val="00EE2F42"/>
    <w:rsid w:val="00EE6407"/>
    <w:rsid w:val="00F01114"/>
    <w:rsid w:val="00F4155E"/>
    <w:rsid w:val="00F54ED2"/>
    <w:rsid w:val="00F64C3B"/>
    <w:rsid w:val="00F66E74"/>
    <w:rsid w:val="00F738DA"/>
    <w:rsid w:val="00F95F9A"/>
    <w:rsid w:val="00F96EF7"/>
    <w:rsid w:val="00FA7585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BF4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007BF4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007BF4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007BF4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007BF4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007BF4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007BF4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007BF4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007BF4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007BF4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007BF4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007B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007BF4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007B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07BF4"/>
  </w:style>
  <w:style w:type="paragraph" w:customStyle="1" w:styleId="Rpido">
    <w:name w:val="Rápido _"/>
    <w:rsid w:val="00007BF4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007BF4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007BF4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007BF4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7/05/22/pdfs/BOE-A-2017-5678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BCCB-0A5F-4BC5-978B-8881A159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1</TotalTime>
  <Pages>3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6300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2017-04-04T15:46:00Z</cp:lastPrinted>
  <dcterms:created xsi:type="dcterms:W3CDTF">2017-05-23T08:08:00Z</dcterms:created>
  <dcterms:modified xsi:type="dcterms:W3CDTF">2017-05-23T08:08:00Z</dcterms:modified>
</cp:coreProperties>
</file>