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bottomFromText="720" w:horzAnchor="margin" w:tblpYSpec="center"/>
        <w:tblW w:w="5000" w:type="pct"/>
        <w:tblLook w:val="04A0" w:firstRow="1" w:lastRow="0" w:firstColumn="1" w:lastColumn="0" w:noHBand="0" w:noVBand="1"/>
      </w:tblPr>
      <w:tblGrid>
        <w:gridCol w:w="9746"/>
      </w:tblGrid>
      <w:tr w:rsidR="002D62C4" w:rsidRPr="005B4231">
        <w:tc>
          <w:tcPr>
            <w:tcW w:w="10296" w:type="dxa"/>
          </w:tcPr>
          <w:p w:rsidR="002D62C4" w:rsidRPr="002B07B2" w:rsidRDefault="002D62C4" w:rsidP="00F215B4">
            <w:pPr>
              <w:pStyle w:val="Ttulo"/>
              <w:jc w:val="center"/>
              <w:rPr>
                <w:szCs w:val="52"/>
              </w:rPr>
            </w:pPr>
            <w:r w:rsidRPr="002B07B2">
              <w:rPr>
                <w:szCs w:val="52"/>
              </w:rPr>
              <w:t xml:space="preserve">  PROYECTO DE LEY DE </w:t>
            </w:r>
            <w:r w:rsidRPr="00E34BAE">
              <w:rPr>
                <w:szCs w:val="52"/>
              </w:rPr>
              <w:t>PRESUPUESTOS</w:t>
            </w:r>
            <w:r w:rsidRPr="002B07B2">
              <w:rPr>
                <w:szCs w:val="52"/>
              </w:rPr>
              <w:t xml:space="preserve"> GENERALES DEL ESTADO PARA 201</w:t>
            </w:r>
            <w:r w:rsidR="005200E5">
              <w:rPr>
                <w:szCs w:val="52"/>
              </w:rPr>
              <w:t>9</w:t>
            </w:r>
          </w:p>
        </w:tc>
      </w:tr>
      <w:tr w:rsidR="002D62C4" w:rsidRPr="005B4231">
        <w:tc>
          <w:tcPr>
            <w:tcW w:w="0" w:type="auto"/>
            <w:vAlign w:val="bottom"/>
          </w:tcPr>
          <w:p w:rsidR="002D62C4" w:rsidRPr="002B07B2" w:rsidRDefault="00844955" w:rsidP="0098133A">
            <w:pPr>
              <w:pStyle w:val="Subttulo"/>
              <w:jc w:val="center"/>
              <w:rPr>
                <w:iCs/>
                <w:sz w:val="44"/>
                <w:szCs w:val="44"/>
              </w:rPr>
            </w:pPr>
            <w:r>
              <w:rPr>
                <w:b/>
                <w:iCs/>
                <w:sz w:val="44"/>
                <w:szCs w:val="44"/>
              </w:rPr>
              <w:t>MADRID</w:t>
            </w:r>
          </w:p>
        </w:tc>
      </w:tr>
      <w:tr w:rsidR="002D62C4" w:rsidRPr="005B4231" w:rsidTr="00F40C6B">
        <w:trPr>
          <w:trHeight w:val="809"/>
        </w:trPr>
        <w:tc>
          <w:tcPr>
            <w:tcW w:w="0" w:type="auto"/>
            <w:vAlign w:val="bottom"/>
          </w:tcPr>
          <w:p w:rsidR="002D62C4" w:rsidRDefault="00844955" w:rsidP="00BC4D04">
            <w:pPr>
              <w:jc w:val="center"/>
              <w:rPr>
                <w:rStyle w:val="SubttuloCar"/>
                <w:iCs/>
                <w:sz w:val="44"/>
                <w:szCs w:val="44"/>
                <w:lang w:val="es-ES"/>
              </w:rPr>
            </w:pPr>
            <w:r>
              <w:rPr>
                <w:rStyle w:val="SubttuloCar"/>
                <w:iCs/>
                <w:sz w:val="44"/>
                <w:szCs w:val="44"/>
                <w:lang w:val="es-ES"/>
              </w:rPr>
              <w:t xml:space="preserve"> </w:t>
            </w:r>
          </w:p>
          <w:p w:rsidR="002D62C4" w:rsidRPr="005B4231" w:rsidRDefault="002D62C4" w:rsidP="00BC4D04">
            <w:pPr>
              <w:jc w:val="center"/>
              <w:rPr>
                <w:color w:val="000000"/>
              </w:rPr>
            </w:pPr>
          </w:p>
        </w:tc>
      </w:tr>
    </w:tbl>
    <w:p w:rsidR="002D62C4" w:rsidRDefault="0089765E" w:rsidP="00C70AE1">
      <w:r>
        <w:rPr>
          <w:noProof/>
          <w:lang w:eastAsia="es-ES"/>
        </w:rPr>
        <mc:AlternateContent>
          <mc:Choice Requires="wps">
            <w:drawing>
              <wp:anchor distT="0" distB="0" distL="114300" distR="114300" simplePos="0" relativeHeight="251656704" behindDoc="0" locked="0" layoutInCell="1" allowOverlap="1">
                <wp:simplePos x="0" y="0"/>
                <wp:positionH relativeFrom="page">
                  <wp:posOffset>685800</wp:posOffset>
                </wp:positionH>
                <wp:positionV relativeFrom="margin">
                  <wp:align>bottom</wp:align>
                </wp:positionV>
                <wp:extent cx="6188710" cy="424180"/>
                <wp:effectExtent l="0" t="0" r="2540" b="4445"/>
                <wp:wrapNone/>
                <wp:docPr id="7"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62C4" w:rsidRDefault="002D62C4" w:rsidP="00C70AE1">
                            <w:pPr>
                              <w:pStyle w:val="Subttulo"/>
                            </w:pP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Cuadro de texto 53" o:spid="_x0000_s1026" type="#_x0000_t202" style="position:absolute;left:0;text-align:left;margin-left:54pt;margin-top:0;width:487.3pt;height:33.4pt;z-index:251656704;visibility:visible;mso-wrap-style:square;mso-width-percent:1000;mso-height-percent:150;mso-wrap-distance-left:9pt;mso-wrap-distance-top:0;mso-wrap-distance-right:9pt;mso-wrap-distance-bottom:0;mso-position-horizontal:absolute;mso-position-horizontal-relative:page;mso-position-vertical:bottom;mso-position-vertical-relative:margin;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" filled="f" stroked="f" strokeweight=".5pt">
                <v:textbox style="mso-fit-shape-to-text:t">
                  <w:txbxContent>
                    <w:p w:rsidR="002D62C4" w:rsidRDefault="002D62C4" w:rsidP="00C70AE1">
                      <w:pPr>
                        <w:pStyle w:val="Subttulo"/>
                      </w:pPr>
                    </w:p>
                  </w:txbxContent>
                </v:textbox>
                <w10:wrap anchorx="page" anchory="margin"/>
              </v:shape>
            </w:pict>
          </mc:Fallback>
        </mc:AlternateContent>
      </w:r>
      <w:r>
        <w:rPr>
          <w:noProof/>
          <w:lang w:eastAsia="es-ES"/>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top</wp:align>
                </wp:positionV>
                <wp:extent cx="6188710" cy="2216150"/>
                <wp:effectExtent l="0" t="0" r="2540" b="0"/>
                <wp:wrapNone/>
                <wp:docPr id="6" name="Rectángu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2216150"/>
                        </a:xfrm>
                        <a:prstGeom prst="rect">
                          <a:avLst/>
                        </a:prstGeom>
                        <a:solidFill>
                          <a:srgbClr val="843C3C"/>
                        </a:solidFill>
                        <a:ln>
                          <a:noFill/>
                        </a:ln>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25000</wp14:pctHeight>
                </wp14:sizeRelV>
              </wp:anchor>
            </w:drawing>
          </mc:Choice>
          <mc:Fallback>
            <w:pict>
              <v:rect w14:anchorId="1C5E7412" id="Rectángulo 54" o:spid="_x0000_s1026" style="position:absolute;margin-left:0;margin-top:0;width:487.3pt;height:174.5pt;z-index:251657728;visibility:visible;mso-wrap-style:square;mso-width-percent:1000;mso-height-percent:250;mso-wrap-distance-left:9pt;mso-wrap-distance-top:0;mso-wrap-distance-right:9pt;mso-wrap-distance-bottom:0;mso-position-horizontal:center;mso-position-horizontal-relative:page;mso-position-vertical:top;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" fillcolor="#843c3c" stroked="f">
                <w10:wrap anchorx="page" anchory="page"/>
              </v:rect>
            </w:pict>
          </mc:Fallback>
        </mc:AlternateContent>
      </w:r>
      <w:r>
        <w:rPr>
          <w:noProof/>
          <w:lang w:eastAsia="es-ES"/>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margin">
                  <wp:align>bottom</wp:align>
                </wp:positionV>
                <wp:extent cx="6188710" cy="36195"/>
                <wp:effectExtent l="0" t="0" r="2540" b="1905"/>
                <wp:wrapNone/>
                <wp:docPr id="5" name="Rectá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36195"/>
                        </a:xfrm>
                        <a:prstGeom prst="rect">
                          <a:avLst/>
                        </a:prstGeom>
                        <a:solidFill>
                          <a:srgbClr val="843C3C"/>
                        </a:solidFill>
                        <a:ln>
                          <a:noFill/>
                        </a:ln>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5F9D8BCA" id="Rectángulo 55" o:spid="_x0000_s1026" style="position:absolute;margin-left:0;margin-top:0;width:487.3pt;height:2.85pt;z-index:251658752;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" fillcolor="#843c3c" stroked="f">
                <w10:wrap anchorx="margin" anchory="margin"/>
              </v:rect>
            </w:pict>
          </mc:Fallback>
        </mc:AlternateContent>
      </w:r>
      <w:r w:rsidR="002D62C4">
        <w:br w:type="page"/>
      </w:r>
    </w:p>
    <w:p w:rsidR="002D62C4" w:rsidRDefault="00F215B4" w:rsidP="00F215B4">
      <w:pPr>
        <w:pStyle w:val="Ttulo"/>
      </w:pPr>
      <w:r>
        <w:lastRenderedPageBreak/>
        <w:t>Í</w:t>
      </w:r>
      <w:r w:rsidR="002D62C4" w:rsidRPr="00604F59">
        <w:t>NDICE</w:t>
      </w:r>
    </w:p>
    <w:p w:rsidR="002D62C4" w:rsidRDefault="002D62C4" w:rsidP="002D7537">
      <w:pPr>
        <w:pStyle w:val="Ttulo2"/>
        <w:numPr>
          <w:ilvl w:val="0"/>
          <w:numId w:val="3"/>
        </w:numPr>
      </w:pPr>
      <w:r>
        <w:t xml:space="preserve">Estado de las inversiones </w:t>
      </w:r>
    </w:p>
    <w:p w:rsidR="002D62C4" w:rsidRDefault="002D62C4" w:rsidP="002D7537">
      <w:pPr>
        <w:pStyle w:val="Ttulo2"/>
        <w:numPr>
          <w:ilvl w:val="0"/>
          <w:numId w:val="3"/>
        </w:numPr>
      </w:pPr>
      <w:r>
        <w:t>Principales actuaciones</w:t>
      </w:r>
    </w:p>
    <w:p w:rsidR="002D62C4" w:rsidRDefault="005200E5" w:rsidP="003110AA">
      <w:pPr>
        <w:pStyle w:val="Ttulo3"/>
      </w:pPr>
      <w:r>
        <w:t>2</w:t>
      </w:r>
      <w:r w:rsidR="002D62C4">
        <w:t>.1.</w:t>
      </w:r>
      <w:r w:rsidR="002D62C4">
        <w:tab/>
      </w:r>
      <w:r w:rsidR="002D62C4" w:rsidRPr="005130C5">
        <w:t>Carreteras</w:t>
      </w:r>
    </w:p>
    <w:p w:rsidR="002D62C4" w:rsidRDefault="005200E5" w:rsidP="003110AA">
      <w:pPr>
        <w:pStyle w:val="Ttulo3"/>
      </w:pPr>
      <w:r>
        <w:t>2</w:t>
      </w:r>
      <w:r w:rsidR="002D62C4">
        <w:t>.2.</w:t>
      </w:r>
      <w:r w:rsidR="002D62C4">
        <w:tab/>
        <w:t>Ferrocarriles</w:t>
      </w:r>
    </w:p>
    <w:p w:rsidR="002D62C4" w:rsidRDefault="005200E5" w:rsidP="003110AA">
      <w:pPr>
        <w:pStyle w:val="Ttulo3"/>
      </w:pPr>
      <w:r>
        <w:t>2</w:t>
      </w:r>
      <w:r w:rsidR="002D62C4">
        <w:t>.3.</w:t>
      </w:r>
      <w:r w:rsidR="002D62C4">
        <w:tab/>
        <w:t>Aeropuertos</w:t>
      </w:r>
    </w:p>
    <w:p w:rsidR="002D62C4" w:rsidRPr="00604F59" w:rsidRDefault="005200E5" w:rsidP="00032164">
      <w:pPr>
        <w:pStyle w:val="Ttulo3"/>
      </w:pPr>
      <w:r>
        <w:t>2</w:t>
      </w:r>
      <w:r w:rsidR="00032164">
        <w:t>.4.</w:t>
      </w:r>
      <w:r w:rsidR="00032164">
        <w:tab/>
      </w:r>
      <w:r w:rsidR="002D62C4">
        <w:t>Vivienda</w:t>
      </w:r>
      <w:r w:rsidR="00022A85">
        <w:t xml:space="preserve"> y Arquitectura</w:t>
      </w:r>
    </w:p>
    <w:p w:rsidR="001E65DB" w:rsidRPr="003D1018" w:rsidRDefault="002E1149" w:rsidP="001E65DB">
      <w:pPr>
        <w:pStyle w:val="Ttulo2"/>
        <w:numPr>
          <w:ilvl w:val="0"/>
          <w:numId w:val="3"/>
        </w:numPr>
      </w:pPr>
      <w:r>
        <w:t xml:space="preserve">OSP y </w:t>
      </w:r>
      <w:r w:rsidR="001E65DB">
        <w:t xml:space="preserve">Subvenciones al Transporte </w:t>
      </w:r>
    </w:p>
    <w:p w:rsidR="002D62C4" w:rsidRDefault="002D62C4" w:rsidP="00C70AE1"/>
    <w:p w:rsidR="002E17E5" w:rsidRDefault="002E17E5" w:rsidP="00C70AE1"/>
    <w:p w:rsidR="002E17E5" w:rsidRDefault="002E17E5" w:rsidP="00C70AE1"/>
    <w:p w:rsidR="002E17E5" w:rsidRDefault="002E17E5" w:rsidP="00C70AE1"/>
    <w:p w:rsidR="002E17E5" w:rsidRDefault="002E17E5" w:rsidP="00C70AE1"/>
    <w:p w:rsidR="002E17E5" w:rsidRDefault="002E17E5" w:rsidP="00C70AE1"/>
    <w:p w:rsidR="002E17E5" w:rsidRDefault="002E17E5" w:rsidP="00C70AE1"/>
    <w:p w:rsidR="002E17E5" w:rsidRDefault="002E17E5" w:rsidP="00C70AE1"/>
    <w:p w:rsidR="00F215B4" w:rsidRDefault="00F215B4">
      <w:pPr>
        <w:spacing w:after="0" w:line="240" w:lineRule="auto"/>
        <w:jc w:val="left"/>
        <w:rPr>
          <w:rFonts w:ascii="Cambria" w:hAnsi="Cambria"/>
          <w:b/>
          <w:color w:val="3C5184"/>
          <w:sz w:val="28"/>
          <w:szCs w:val="20"/>
          <w:lang w:eastAsia="es-ES"/>
        </w:rPr>
      </w:pPr>
      <w:r>
        <w:br w:type="page"/>
      </w:r>
    </w:p>
    <w:p w:rsidR="002D62C4" w:rsidRDefault="00F215B4" w:rsidP="00E77F3E">
      <w:pPr>
        <w:pStyle w:val="Ttulo1"/>
        <w:numPr>
          <w:ilvl w:val="0"/>
          <w:numId w:val="26"/>
        </w:numPr>
      </w:pPr>
      <w:r>
        <w:lastRenderedPageBreak/>
        <w:t xml:space="preserve">Estado de las </w:t>
      </w:r>
      <w:r w:rsidRPr="00F215B4">
        <w:t>inversiones</w:t>
      </w:r>
    </w:p>
    <w:p w:rsidR="002D62C4" w:rsidRPr="00CA6DEE" w:rsidRDefault="00844955" w:rsidP="00E77F3E">
      <w:pPr>
        <w:pStyle w:val="Ttulo2"/>
        <w:numPr>
          <w:ilvl w:val="1"/>
          <w:numId w:val="26"/>
        </w:numPr>
        <w:ind w:left="567" w:hanging="567"/>
      </w:pPr>
      <w:r>
        <w:t>MADRID</w:t>
      </w:r>
    </w:p>
    <w:p w:rsidR="00844955" w:rsidRPr="00844955" w:rsidRDefault="0090005A" w:rsidP="00844955">
      <w:pPr>
        <w:numPr>
          <w:ilvl w:val="0"/>
          <w:numId w:val="13"/>
        </w:numPr>
      </w:pPr>
      <w:r w:rsidRPr="00B92000">
        <w:t xml:space="preserve"> </w:t>
      </w:r>
      <w:bookmarkStart w:id="0" w:name="Frase1CCAA"/>
      <w:bookmarkEnd w:id="0"/>
      <w:r w:rsidR="00844955" w:rsidRPr="00844955">
        <w:t xml:space="preserve">La Comunidad Autónoma de Madrid tiene asignado en el Proyecto de PGE2019, en cuanto al </w:t>
      </w:r>
      <w:r w:rsidR="00844955" w:rsidRPr="00171C7C">
        <w:rPr>
          <w:b/>
        </w:rPr>
        <w:t>Gasto total</w:t>
      </w:r>
      <w:r w:rsidR="00171C7C">
        <w:rPr>
          <w:rStyle w:val="Refdenotaalpie"/>
          <w:b/>
        </w:rPr>
        <w:footnoteReference w:id="1"/>
      </w:r>
      <w:r w:rsidR="00844955" w:rsidRPr="00171C7C">
        <w:rPr>
          <w:b/>
        </w:rPr>
        <w:t xml:space="preserve"> (con inversiones financieras) previsto del Grupo Fomento</w:t>
      </w:r>
      <w:r w:rsidR="00844955" w:rsidRPr="00844955">
        <w:t xml:space="preserve">, una cantidad de </w:t>
      </w:r>
      <w:r w:rsidR="00844955" w:rsidRPr="00844955">
        <w:rPr>
          <w:b/>
          <w:bCs/>
        </w:rPr>
        <w:t>846,98 M€.</w:t>
      </w:r>
    </w:p>
    <w:p w:rsidR="00844955" w:rsidRPr="00844955" w:rsidRDefault="00844955" w:rsidP="00844955">
      <w:pPr>
        <w:numPr>
          <w:ilvl w:val="0"/>
          <w:numId w:val="13"/>
        </w:numPr>
      </w:pPr>
      <w:r w:rsidRPr="00844955">
        <w:t xml:space="preserve">La Comunidad Autónoma de Madrid está un </w:t>
      </w:r>
      <w:r w:rsidRPr="00844955">
        <w:rPr>
          <w:b/>
          <w:bCs/>
        </w:rPr>
        <w:t>24,9% (168,60 M€) por encima de la media</w:t>
      </w:r>
      <w:r w:rsidRPr="00844955">
        <w:t xml:space="preserve"> por Comunidad Autónoma en cuanto al Gasto total (con inversiones financieras) previsto del Grupo Fomento.</w:t>
      </w:r>
    </w:p>
    <w:p w:rsidR="00844955" w:rsidRPr="00844955" w:rsidRDefault="00844955" w:rsidP="00844955">
      <w:pPr>
        <w:numPr>
          <w:ilvl w:val="0"/>
          <w:numId w:val="13"/>
        </w:numPr>
      </w:pPr>
      <w:r w:rsidRPr="00844955">
        <w:t>En la Comunidad Autónoma de Madrid, en cuanto a</w:t>
      </w:r>
      <w:r w:rsidR="007A03FD">
        <w:t>l</w:t>
      </w:r>
      <w:r w:rsidRPr="00844955">
        <w:rPr>
          <w:b/>
          <w:bCs/>
        </w:rPr>
        <w:t xml:space="preserve"> presupuesto de inversión</w:t>
      </w:r>
      <w:r w:rsidR="00171C7C">
        <w:rPr>
          <w:rStyle w:val="Refdenotaalpie"/>
          <w:b/>
          <w:bCs/>
        </w:rPr>
        <w:footnoteReference w:id="2"/>
      </w:r>
      <w:r w:rsidRPr="00844955">
        <w:rPr>
          <w:b/>
          <w:bCs/>
        </w:rPr>
        <w:t xml:space="preserve"> del Grupo Fomento</w:t>
      </w:r>
      <w:r w:rsidRPr="00844955">
        <w:t xml:space="preserve">, </w:t>
      </w:r>
      <w:r w:rsidRPr="00844955">
        <w:rPr>
          <w:b/>
          <w:bCs/>
        </w:rPr>
        <w:t>se mantiene el esfuerzo inversor</w:t>
      </w:r>
      <w:r w:rsidRPr="00844955">
        <w:t xml:space="preserve"> de los PGE2018 por valor de </w:t>
      </w:r>
      <w:r w:rsidRPr="008F31A5">
        <w:rPr>
          <w:b/>
        </w:rPr>
        <w:t>677,88 M€</w:t>
      </w:r>
      <w:r w:rsidRPr="00844955">
        <w:t xml:space="preserve"> para el Proyecto de PGE2019. La Comunidad Autónoma se coloca en la </w:t>
      </w:r>
      <w:r w:rsidRPr="00844955">
        <w:rPr>
          <w:b/>
          <w:bCs/>
        </w:rPr>
        <w:t>posición 5 en el ranking</w:t>
      </w:r>
      <w:r w:rsidRPr="00844955">
        <w:t xml:space="preserve"> por Comunidad Autónoma.</w:t>
      </w:r>
    </w:p>
    <w:p w:rsidR="00844955" w:rsidRPr="00844955" w:rsidRDefault="00844955" w:rsidP="00844955">
      <w:pPr>
        <w:numPr>
          <w:ilvl w:val="0"/>
          <w:numId w:val="13"/>
        </w:numPr>
      </w:pPr>
      <w:r w:rsidRPr="00844955">
        <w:t xml:space="preserve">La Comunidad Autónoma de Madrid tiene asignado en el Proyecto de PGE2019, en cuanto a la </w:t>
      </w:r>
      <w:r w:rsidRPr="00171C7C">
        <w:rPr>
          <w:b/>
        </w:rPr>
        <w:t>Inversión real</w:t>
      </w:r>
      <w:r w:rsidR="00171C7C">
        <w:rPr>
          <w:rStyle w:val="Refdenotaalpie"/>
          <w:b/>
        </w:rPr>
        <w:footnoteReference w:id="3"/>
      </w:r>
      <w:r w:rsidRPr="00171C7C">
        <w:rPr>
          <w:b/>
        </w:rPr>
        <w:t xml:space="preserve"> del Grupo Fomento</w:t>
      </w:r>
      <w:r w:rsidRPr="00844955">
        <w:t xml:space="preserve">, una cantidad de </w:t>
      </w:r>
      <w:r w:rsidRPr="00844955">
        <w:rPr>
          <w:b/>
          <w:bCs/>
        </w:rPr>
        <w:t xml:space="preserve">612,64 </w:t>
      </w:r>
      <w:r w:rsidRPr="00844955">
        <w:rPr>
          <w:b/>
          <w:bCs/>
        </w:rPr>
        <w:lastRenderedPageBreak/>
        <w:t>M€.</w:t>
      </w:r>
      <w:r w:rsidRPr="00844955">
        <w:t xml:space="preserve"> Lo que la coloca en la </w:t>
      </w:r>
      <w:r w:rsidRPr="00844955">
        <w:rPr>
          <w:b/>
          <w:bCs/>
        </w:rPr>
        <w:t>posición 5 en el ranking</w:t>
      </w:r>
      <w:r w:rsidRPr="00844955">
        <w:t xml:space="preserve"> por Comunidad Autónoma.</w:t>
      </w:r>
    </w:p>
    <w:p w:rsidR="00844955" w:rsidRPr="00844955" w:rsidRDefault="00844955" w:rsidP="00844955">
      <w:pPr>
        <w:numPr>
          <w:ilvl w:val="0"/>
          <w:numId w:val="13"/>
        </w:numPr>
      </w:pPr>
      <w:r w:rsidRPr="00844955">
        <w:t xml:space="preserve">La Comunidad Autónoma de Madrid está un </w:t>
      </w:r>
      <w:r w:rsidRPr="00844955">
        <w:rPr>
          <w:b/>
          <w:bCs/>
        </w:rPr>
        <w:t>19,0% (97,99 M€) por encima de la media</w:t>
      </w:r>
      <w:r w:rsidRPr="00844955">
        <w:t xml:space="preserve"> por Comunidad Autónoma en cuanto a la Inversión real del Grupo Fomento.</w:t>
      </w:r>
    </w:p>
    <w:p w:rsidR="00844955" w:rsidRPr="00844955" w:rsidRDefault="00844955" w:rsidP="00844955">
      <w:pPr>
        <w:numPr>
          <w:ilvl w:val="0"/>
          <w:numId w:val="13"/>
        </w:numPr>
      </w:pPr>
      <w:r w:rsidRPr="00844955">
        <w:t xml:space="preserve">Respecto a los Presupuestos aprobados en 2018, </w:t>
      </w:r>
      <w:r w:rsidRPr="00844955">
        <w:rPr>
          <w:b/>
          <w:bCs/>
        </w:rPr>
        <w:t>la Inversión real en carreteras</w:t>
      </w:r>
      <w:r w:rsidRPr="00844955">
        <w:t xml:space="preserve"> en la Comunidad Autónoma de Madrid </w:t>
      </w:r>
      <w:r w:rsidRPr="00844955">
        <w:rPr>
          <w:b/>
          <w:bCs/>
        </w:rPr>
        <w:t>se ha incrementado un 2,3%</w:t>
      </w:r>
      <w:r w:rsidRPr="00844955">
        <w:t xml:space="preserve"> (1,76 M€) pasando de los 75,67 M€ en el PGE2018 a los </w:t>
      </w:r>
      <w:r w:rsidRPr="00844955">
        <w:rPr>
          <w:b/>
          <w:bCs/>
        </w:rPr>
        <w:t>77,43 M€ en el Proyecto de PGE2019.</w:t>
      </w:r>
    </w:p>
    <w:p w:rsidR="00844955" w:rsidRPr="00844955" w:rsidRDefault="00844955" w:rsidP="00844955">
      <w:pPr>
        <w:numPr>
          <w:ilvl w:val="0"/>
          <w:numId w:val="13"/>
        </w:numPr>
      </w:pPr>
      <w:r w:rsidRPr="00844955">
        <w:t xml:space="preserve">La Comunidad Autónoma de Madrid tiene asignado en el Proyecto de PGE2019, en cuanto a la </w:t>
      </w:r>
      <w:r w:rsidRPr="008F31A5">
        <w:rPr>
          <w:b/>
        </w:rPr>
        <w:t>Inversión real en el modo ferroviario</w:t>
      </w:r>
      <w:r w:rsidRPr="00844955">
        <w:t xml:space="preserve">, una cantidad de </w:t>
      </w:r>
      <w:r w:rsidRPr="00844955">
        <w:rPr>
          <w:b/>
          <w:bCs/>
        </w:rPr>
        <w:t>347,35 M€.</w:t>
      </w:r>
    </w:p>
    <w:p w:rsidR="00844955" w:rsidRDefault="00844955" w:rsidP="00844955">
      <w:pPr>
        <w:numPr>
          <w:ilvl w:val="0"/>
          <w:numId w:val="13"/>
        </w:numPr>
      </w:pPr>
      <w:r w:rsidRPr="00844955">
        <w:t xml:space="preserve">La Comunidad Autónoma de Madrid está un </w:t>
      </w:r>
      <w:r w:rsidRPr="00844955">
        <w:rPr>
          <w:b/>
          <w:bCs/>
        </w:rPr>
        <w:t>12,6% (38,96 M€) por encima de la media</w:t>
      </w:r>
      <w:r w:rsidRPr="00844955">
        <w:t xml:space="preserve"> por Comunidad Autónoma en cuanto a la Inversión real en el modo ferroviario.</w:t>
      </w:r>
    </w:p>
    <w:p w:rsidR="00BF13B4" w:rsidRPr="00986C77" w:rsidRDefault="00BF13B4" w:rsidP="00BF13B4">
      <w:pPr>
        <w:pStyle w:val="Prrafodelista"/>
        <w:numPr>
          <w:ilvl w:val="0"/>
          <w:numId w:val="13"/>
        </w:numPr>
      </w:pPr>
      <w:r>
        <w:t xml:space="preserve">Adicionalmente, </w:t>
      </w:r>
      <w:r>
        <w:t xml:space="preserve">el Ministerio destinará en 2019 </w:t>
      </w:r>
      <w:r w:rsidRPr="00CC6792">
        <w:rPr>
          <w:b/>
        </w:rPr>
        <w:t>más de 167,1 M€ para la financiación de los servicios ferroviarios declarados OSP en Madrid.</w:t>
      </w:r>
    </w:p>
    <w:p w:rsidR="00BF13B4" w:rsidRDefault="00BF13B4" w:rsidP="00BF13B4">
      <w:pPr>
        <w:pStyle w:val="Prrafodelista"/>
        <w:ind w:left="567"/>
      </w:pPr>
    </w:p>
    <w:p w:rsidR="00BF13B4" w:rsidRDefault="00BF13B4" w:rsidP="00BF13B4">
      <w:pPr>
        <w:pStyle w:val="Prrafodelista"/>
        <w:numPr>
          <w:ilvl w:val="0"/>
          <w:numId w:val="13"/>
        </w:numPr>
      </w:pPr>
      <w:r w:rsidRPr="0069549B">
        <w:t xml:space="preserve">Madrid, junto con Cataluña y Andalucía, forma parte de las comunidades autónomas cuyos </w:t>
      </w:r>
      <w:r w:rsidRPr="00CC6792">
        <w:rPr>
          <w:b/>
        </w:rPr>
        <w:t>servicios ferroviarios de Cercanías y Media Distancia declarados Obligación de Servicio Público por la Administración General del Estado reciben más financiación en los PGE</w:t>
      </w:r>
      <w:r w:rsidRPr="0069549B">
        <w:t>.</w:t>
      </w:r>
    </w:p>
    <w:p w:rsidR="00BF13B4" w:rsidRDefault="00BF13B4" w:rsidP="00BF13B4">
      <w:pPr>
        <w:pStyle w:val="Prrafodelista"/>
      </w:pPr>
    </w:p>
    <w:p w:rsidR="00BF13B4" w:rsidRPr="00184E69" w:rsidRDefault="00BF13B4" w:rsidP="00184E69">
      <w:pPr>
        <w:pStyle w:val="Prrafodelista"/>
        <w:numPr>
          <w:ilvl w:val="0"/>
          <w:numId w:val="13"/>
        </w:numPr>
        <w:rPr>
          <w:b/>
        </w:rPr>
      </w:pPr>
      <w:r w:rsidRPr="005311D6">
        <w:t xml:space="preserve">Los PGE garantizan la prestación de los servicios OSP al asumir el Ministerio de Fomento la financiación de </w:t>
      </w:r>
      <w:r w:rsidRPr="005311D6">
        <w:lastRenderedPageBreak/>
        <w:t xml:space="preserve">su déficit de explotación, incluyendo los nuevos servicios recogidos en el reciente contrato con RENFE, que </w:t>
      </w:r>
      <w:r w:rsidRPr="00CC6792">
        <w:rPr>
          <w:b/>
        </w:rPr>
        <w:t>en Madrid suponen la ampliación de la frecuencia de determinadas líneas de Cercanías.</w:t>
      </w:r>
      <w:bookmarkStart w:id="1" w:name="_GoBack"/>
      <w:bookmarkEnd w:id="1"/>
    </w:p>
    <w:p w:rsidR="00844955" w:rsidRPr="00844955" w:rsidRDefault="00844955" w:rsidP="00844955">
      <w:pPr>
        <w:numPr>
          <w:ilvl w:val="0"/>
          <w:numId w:val="13"/>
        </w:numPr>
      </w:pPr>
      <w:r w:rsidRPr="00844955">
        <w:t xml:space="preserve">Respecto a los Presupuestos aprobados en 2018, </w:t>
      </w:r>
      <w:r w:rsidRPr="00844955">
        <w:rPr>
          <w:b/>
          <w:bCs/>
        </w:rPr>
        <w:t>la Inversión real en el modo aeroportuario</w:t>
      </w:r>
      <w:r w:rsidRPr="00844955">
        <w:t xml:space="preserve"> en la Comunidad Autónoma de Madrid </w:t>
      </w:r>
      <w:r w:rsidRPr="00844955">
        <w:rPr>
          <w:b/>
          <w:bCs/>
        </w:rPr>
        <w:t>se ha incrementado un 5,1%</w:t>
      </w:r>
      <w:r w:rsidRPr="00844955">
        <w:t xml:space="preserve"> (7,71 M€) pasando de los 151,57 M€ en el PGE2018 a los </w:t>
      </w:r>
      <w:r w:rsidRPr="00844955">
        <w:rPr>
          <w:b/>
          <w:bCs/>
        </w:rPr>
        <w:t>159,27 M€ en el Proyecto de PGE2019.</w:t>
      </w:r>
      <w:r w:rsidRPr="00844955">
        <w:t xml:space="preserve"> La Comunidad Autónoma se coloca en la </w:t>
      </w:r>
      <w:r w:rsidRPr="00844955">
        <w:rPr>
          <w:b/>
          <w:bCs/>
        </w:rPr>
        <w:t>posición 1 en el ranking</w:t>
      </w:r>
      <w:r w:rsidRPr="00844955">
        <w:t xml:space="preserve"> por Comunidad Autónoma.</w:t>
      </w:r>
    </w:p>
    <w:p w:rsidR="00844955" w:rsidRPr="00844955" w:rsidRDefault="00844955" w:rsidP="00844955">
      <w:pPr>
        <w:numPr>
          <w:ilvl w:val="0"/>
          <w:numId w:val="13"/>
        </w:numPr>
      </w:pPr>
      <w:r w:rsidRPr="00844955">
        <w:t xml:space="preserve">La Comunidad Autónoma de Madrid está un </w:t>
      </w:r>
      <w:r w:rsidRPr="00844955">
        <w:rPr>
          <w:b/>
          <w:bCs/>
        </w:rPr>
        <w:t>414,5% (128,32 M€) por encima de la media</w:t>
      </w:r>
      <w:r w:rsidRPr="00844955">
        <w:t xml:space="preserve"> por Comunidad Autónoma en cuanto a la Inversión real en el modo aeroportuario.</w:t>
      </w:r>
    </w:p>
    <w:p w:rsidR="00FD0739" w:rsidRPr="00844955" w:rsidRDefault="00FD0739" w:rsidP="00FD0739">
      <w:pPr>
        <w:numPr>
          <w:ilvl w:val="0"/>
          <w:numId w:val="13"/>
        </w:numPr>
      </w:pPr>
      <w:r w:rsidRPr="00844955">
        <w:t xml:space="preserve">La Comunidad Autónoma de Madrid ocupa </w:t>
      </w:r>
      <w:r w:rsidRPr="00844955">
        <w:rPr>
          <w:b/>
          <w:bCs/>
        </w:rPr>
        <w:t>la posición número 3 en el ranking</w:t>
      </w:r>
      <w:r w:rsidRPr="00844955">
        <w:t xml:space="preserve"> por Comunidad Autónoma en cuanto a la Inversión real en el modo aeroportuario por persona, con una cantidad de </w:t>
      </w:r>
      <w:r w:rsidRPr="00844955">
        <w:rPr>
          <w:b/>
          <w:bCs/>
        </w:rPr>
        <w:t>24,22 euros por habitante</w:t>
      </w:r>
      <w:r w:rsidRPr="00844955">
        <w:t xml:space="preserve"> residente en la Comunidad Autónoma.</w:t>
      </w:r>
    </w:p>
    <w:p w:rsidR="00844955" w:rsidRPr="00844955" w:rsidRDefault="00844955" w:rsidP="00844955">
      <w:pPr>
        <w:numPr>
          <w:ilvl w:val="0"/>
          <w:numId w:val="13"/>
        </w:numPr>
      </w:pPr>
      <w:r w:rsidRPr="00844955">
        <w:t xml:space="preserve">La Comunidad Autónoma de Madrid ocupa </w:t>
      </w:r>
      <w:r w:rsidRPr="00844955">
        <w:rPr>
          <w:b/>
          <w:bCs/>
        </w:rPr>
        <w:t>la posición número 4 en el ranking</w:t>
      </w:r>
      <w:r w:rsidRPr="00844955">
        <w:t xml:space="preserve"> por Comunidad Autónoma en cuanto a la Inversión real en el modo aeroportuario por PIB, con una cantidad de </w:t>
      </w:r>
      <w:r w:rsidRPr="00844955">
        <w:rPr>
          <w:b/>
          <w:bCs/>
        </w:rPr>
        <w:t>0,72 euros por cada 1000 euros de PIB</w:t>
      </w:r>
      <w:r w:rsidRPr="00844955">
        <w:t xml:space="preserve"> de la región.</w:t>
      </w:r>
    </w:p>
    <w:p w:rsidR="00D21229" w:rsidRPr="002F44B4" w:rsidRDefault="00D21229">
      <w:pPr>
        <w:spacing w:after="0" w:line="240" w:lineRule="auto"/>
        <w:jc w:val="left"/>
        <w:rPr>
          <w:rFonts w:ascii="Cambria" w:hAnsi="Cambria"/>
          <w:color w:val="3C5184"/>
          <w:sz w:val="28"/>
          <w:szCs w:val="20"/>
          <w:lang w:eastAsia="es-ES"/>
        </w:rPr>
      </w:pPr>
      <w:bookmarkStart w:id="2" w:name="Frase1Prov"/>
      <w:bookmarkEnd w:id="2"/>
    </w:p>
    <w:p w:rsidR="002D62C4" w:rsidRDefault="002D62C4" w:rsidP="00344BF2">
      <w:pPr>
        <w:pStyle w:val="Ttulo1"/>
        <w:numPr>
          <w:ilvl w:val="0"/>
          <w:numId w:val="26"/>
        </w:numPr>
      </w:pPr>
      <w:r w:rsidRPr="00C017CC">
        <w:lastRenderedPageBreak/>
        <w:t xml:space="preserve">Principales </w:t>
      </w:r>
      <w:r w:rsidRPr="00F215B4">
        <w:t>actuaciones</w:t>
      </w:r>
    </w:p>
    <w:p w:rsidR="005200E5" w:rsidRPr="005200E5" w:rsidRDefault="005200E5" w:rsidP="005200E5">
      <w:pPr>
        <w:pStyle w:val="Prrafodelista"/>
        <w:keepNext/>
        <w:keepLines/>
        <w:numPr>
          <w:ilvl w:val="0"/>
          <w:numId w:val="27"/>
        </w:numPr>
        <w:spacing w:before="200" w:after="120" w:line="360" w:lineRule="auto"/>
        <w:contextualSpacing w:val="0"/>
        <w:outlineLvl w:val="2"/>
        <w:rPr>
          <w:rFonts w:ascii="Cambria" w:hAnsi="Cambria"/>
          <w:b/>
          <w:vanish/>
          <w:color w:val="7A7A7A"/>
          <w:sz w:val="26"/>
          <w:szCs w:val="20"/>
          <w:lang w:eastAsia="es-ES"/>
        </w:rPr>
      </w:pPr>
    </w:p>
    <w:p w:rsidR="005200E5" w:rsidRPr="005200E5" w:rsidRDefault="005200E5" w:rsidP="005200E5">
      <w:pPr>
        <w:pStyle w:val="Prrafodelista"/>
        <w:keepNext/>
        <w:keepLines/>
        <w:numPr>
          <w:ilvl w:val="0"/>
          <w:numId w:val="27"/>
        </w:numPr>
        <w:spacing w:before="200" w:after="120" w:line="360" w:lineRule="auto"/>
        <w:contextualSpacing w:val="0"/>
        <w:outlineLvl w:val="2"/>
        <w:rPr>
          <w:rFonts w:ascii="Cambria" w:hAnsi="Cambria"/>
          <w:b/>
          <w:vanish/>
          <w:color w:val="7A7A7A"/>
          <w:sz w:val="26"/>
          <w:szCs w:val="20"/>
          <w:lang w:eastAsia="es-ES"/>
        </w:rPr>
      </w:pPr>
    </w:p>
    <w:p w:rsidR="00851317" w:rsidRDefault="00851317" w:rsidP="005200E5">
      <w:pPr>
        <w:pStyle w:val="Ttulo3"/>
        <w:numPr>
          <w:ilvl w:val="1"/>
          <w:numId w:val="27"/>
        </w:numPr>
      </w:pPr>
      <w:r>
        <w:t>Carreteras</w:t>
      </w:r>
    </w:p>
    <w:p w:rsidR="009A29A5" w:rsidRDefault="009A29A5" w:rsidP="009A29A5">
      <w:pPr>
        <w:pStyle w:val="Prrafodelista"/>
        <w:numPr>
          <w:ilvl w:val="0"/>
          <w:numId w:val="15"/>
        </w:numPr>
        <w:ind w:left="567"/>
        <w:contextualSpacing w:val="0"/>
        <w:rPr>
          <w:rFonts w:eastAsia="Calibri"/>
        </w:rPr>
      </w:pPr>
      <w:r w:rsidRPr="006018C3">
        <w:rPr>
          <w:rFonts w:eastAsia="Calibri"/>
        </w:rPr>
        <w:t>En 201</w:t>
      </w:r>
      <w:r>
        <w:rPr>
          <w:rFonts w:eastAsia="Calibri"/>
        </w:rPr>
        <w:t>9</w:t>
      </w:r>
      <w:r w:rsidRPr="006018C3">
        <w:rPr>
          <w:rFonts w:eastAsia="Calibri"/>
        </w:rPr>
        <w:t xml:space="preserve"> se destinará la cantidad de </w:t>
      </w:r>
      <w:r>
        <w:rPr>
          <w:rFonts w:eastAsia="Calibri"/>
          <w:b/>
        </w:rPr>
        <w:t>77,4</w:t>
      </w:r>
      <w:r w:rsidRPr="006018C3">
        <w:rPr>
          <w:rFonts w:eastAsia="Calibri"/>
          <w:b/>
        </w:rPr>
        <w:t xml:space="preserve"> M€ </w:t>
      </w:r>
      <w:r w:rsidRPr="000D0705">
        <w:rPr>
          <w:rFonts w:eastAsia="Calibri"/>
        </w:rPr>
        <w:t>(76,8 M€ de la DGC+0,6 M€ de la SEITT)</w:t>
      </w:r>
      <w:r>
        <w:rPr>
          <w:rFonts w:eastAsia="Calibri"/>
          <w:b/>
        </w:rPr>
        <w:t xml:space="preserve"> </w:t>
      </w:r>
      <w:r w:rsidRPr="006018C3">
        <w:rPr>
          <w:rFonts w:eastAsia="Calibri"/>
        </w:rPr>
        <w:t xml:space="preserve">para inversiones en carreteras en la Comunidad de Madrid, lo que supone una dotación </w:t>
      </w:r>
      <w:r>
        <w:rPr>
          <w:rFonts w:eastAsia="Calibri"/>
        </w:rPr>
        <w:t>un 2% superior</w:t>
      </w:r>
      <w:r w:rsidRPr="006018C3">
        <w:rPr>
          <w:rFonts w:eastAsia="Calibri"/>
        </w:rPr>
        <w:t xml:space="preserve"> a </w:t>
      </w:r>
      <w:r>
        <w:rPr>
          <w:rFonts w:eastAsia="Calibri"/>
        </w:rPr>
        <w:t>la destinada en los PGE-2018 (75,7</w:t>
      </w:r>
      <w:r w:rsidRPr="006018C3">
        <w:rPr>
          <w:rFonts w:eastAsia="Calibri"/>
        </w:rPr>
        <w:t xml:space="preserve"> M€) </w:t>
      </w:r>
    </w:p>
    <w:p w:rsidR="009A29A5" w:rsidRPr="006018C3" w:rsidRDefault="009A29A5" w:rsidP="009A29A5">
      <w:pPr>
        <w:pStyle w:val="Prrafodelista"/>
        <w:numPr>
          <w:ilvl w:val="1"/>
          <w:numId w:val="15"/>
        </w:numPr>
        <w:contextualSpacing w:val="0"/>
        <w:rPr>
          <w:rFonts w:eastAsia="Calibri"/>
        </w:rPr>
      </w:pPr>
      <w:r w:rsidRPr="006018C3">
        <w:rPr>
          <w:rFonts w:eastAsia="Calibri"/>
        </w:rPr>
        <w:t xml:space="preserve">Adicionalmente, sin que figure en el anejo de inversiones del PGE por ser extrapresupuestaria, se prevé una inversión </w:t>
      </w:r>
      <w:r>
        <w:rPr>
          <w:rFonts w:eastAsia="Calibri"/>
        </w:rPr>
        <w:t>en</w:t>
      </w:r>
      <w:r w:rsidRPr="006018C3">
        <w:rPr>
          <w:rFonts w:eastAsia="Calibri"/>
        </w:rPr>
        <w:t xml:space="preserve"> las autopistas estatales de peaje en la Comunidad de Madrid de </w:t>
      </w:r>
      <w:r>
        <w:rPr>
          <w:rFonts w:eastAsia="Calibri"/>
          <w:b/>
        </w:rPr>
        <w:t>2 </w:t>
      </w:r>
      <w:r w:rsidRPr="006018C3">
        <w:rPr>
          <w:rFonts w:eastAsia="Calibri"/>
          <w:b/>
        </w:rPr>
        <w:t>M€</w:t>
      </w:r>
      <w:r w:rsidRPr="006018C3">
        <w:rPr>
          <w:rFonts w:eastAsia="Calibri"/>
        </w:rPr>
        <w:t>.</w:t>
      </w:r>
      <w:r>
        <w:rPr>
          <w:rFonts w:eastAsia="Calibri"/>
        </w:rPr>
        <w:t xml:space="preserve"> (AP-6)</w:t>
      </w:r>
    </w:p>
    <w:p w:rsidR="009A29A5" w:rsidRDefault="009A29A5" w:rsidP="009A29A5">
      <w:pPr>
        <w:numPr>
          <w:ilvl w:val="1"/>
          <w:numId w:val="15"/>
        </w:numPr>
        <w:contextualSpacing/>
        <w:rPr>
          <w:bCs/>
          <w:szCs w:val="24"/>
        </w:rPr>
      </w:pPr>
      <w:r w:rsidRPr="000B05C1">
        <w:rPr>
          <w:bCs/>
          <w:szCs w:val="24"/>
        </w:rPr>
        <w:t xml:space="preserve">Además, con el objetivo de </w:t>
      </w:r>
      <w:r w:rsidRPr="000B05C1">
        <w:rPr>
          <w:b/>
          <w:bCs/>
          <w:szCs w:val="24"/>
        </w:rPr>
        <w:t xml:space="preserve">potenciar el uso de las autopistas </w:t>
      </w:r>
      <w:r w:rsidRPr="000B05C1">
        <w:rPr>
          <w:bCs/>
          <w:szCs w:val="24"/>
        </w:rPr>
        <w:t xml:space="preserve">dependientes de la Administración General del Estado, se dotan </w:t>
      </w:r>
      <w:r>
        <w:rPr>
          <w:bCs/>
          <w:szCs w:val="24"/>
        </w:rPr>
        <w:t>una</w:t>
      </w:r>
      <w:r w:rsidRPr="000B05C1">
        <w:rPr>
          <w:bCs/>
          <w:szCs w:val="24"/>
        </w:rPr>
        <w:t xml:space="preserve"> partida por importe total de </w:t>
      </w:r>
      <w:r w:rsidRPr="00B84799">
        <w:rPr>
          <w:b/>
          <w:bCs/>
          <w:szCs w:val="24"/>
        </w:rPr>
        <w:t>4</w:t>
      </w:r>
      <w:r>
        <w:rPr>
          <w:b/>
          <w:bCs/>
          <w:szCs w:val="24"/>
        </w:rPr>
        <w:t>,2</w:t>
      </w:r>
      <w:r w:rsidRPr="000B05C1">
        <w:rPr>
          <w:b/>
          <w:bCs/>
          <w:szCs w:val="24"/>
        </w:rPr>
        <w:t xml:space="preserve"> M€,</w:t>
      </w:r>
      <w:r w:rsidRPr="000B05C1">
        <w:rPr>
          <w:bCs/>
          <w:szCs w:val="24"/>
        </w:rPr>
        <w:t xml:space="preserve"> para toda la red de autopistas estatales de peaje, destinadas a reducciones de peaje según</w:t>
      </w:r>
      <w:r>
        <w:rPr>
          <w:bCs/>
          <w:szCs w:val="24"/>
        </w:rPr>
        <w:t xml:space="preserve"> estudios de nuevas necesidades y convenios.</w:t>
      </w:r>
    </w:p>
    <w:p w:rsidR="009A29A5" w:rsidRPr="005B0660" w:rsidRDefault="009A29A5" w:rsidP="009A29A5">
      <w:pPr>
        <w:numPr>
          <w:ilvl w:val="1"/>
          <w:numId w:val="15"/>
        </w:numPr>
        <w:rPr>
          <w:rFonts w:eastAsia="Calibri"/>
        </w:rPr>
      </w:pPr>
      <w:r w:rsidRPr="005B0660">
        <w:rPr>
          <w:rFonts w:eastAsia="Calibri" w:cs="Calibri"/>
          <w:bCs/>
          <w:szCs w:val="24"/>
        </w:rPr>
        <w:t xml:space="preserve">También se destinan </w:t>
      </w:r>
      <w:r w:rsidRPr="00354F26">
        <w:rPr>
          <w:rFonts w:eastAsia="Calibri" w:cs="Calibri"/>
          <w:b/>
          <w:bCs/>
          <w:szCs w:val="24"/>
        </w:rPr>
        <w:t>1,1</w:t>
      </w:r>
      <w:r w:rsidRPr="005B0660">
        <w:rPr>
          <w:rFonts w:eastAsia="Calibri" w:cs="Calibri"/>
          <w:b/>
          <w:bCs/>
          <w:szCs w:val="24"/>
        </w:rPr>
        <w:t xml:space="preserve"> M€</w:t>
      </w:r>
      <w:r>
        <w:rPr>
          <w:rFonts w:eastAsia="Calibri" w:cs="Calibri"/>
          <w:b/>
          <w:bCs/>
          <w:szCs w:val="24"/>
        </w:rPr>
        <w:t xml:space="preserve"> </w:t>
      </w:r>
      <w:r w:rsidRPr="005B0660">
        <w:rPr>
          <w:rFonts w:eastAsia="Calibri" w:cs="Calibri"/>
          <w:bCs/>
          <w:szCs w:val="24"/>
        </w:rPr>
        <w:t xml:space="preserve">en la Comunidad de Madrid para la compensación a la autopista </w:t>
      </w:r>
      <w:r w:rsidRPr="005B0660">
        <w:rPr>
          <w:rFonts w:eastAsia="Calibri" w:cs="Calibri"/>
          <w:b/>
          <w:bCs/>
          <w:szCs w:val="24"/>
        </w:rPr>
        <w:t>AP-41 Madrid-Toledo</w:t>
      </w:r>
      <w:r w:rsidRPr="005B0660">
        <w:rPr>
          <w:rFonts w:eastAsia="Calibri" w:cs="Calibri"/>
          <w:bCs/>
          <w:szCs w:val="24"/>
        </w:rPr>
        <w:t xml:space="preserve"> en cumplimiento de la sentencia del Tribunal Supremo de fecha 16 de mayo de 2011 (total Madrid + Tol</w:t>
      </w:r>
      <w:r>
        <w:rPr>
          <w:rFonts w:eastAsia="Calibri" w:cs="Calibri"/>
          <w:bCs/>
          <w:szCs w:val="24"/>
        </w:rPr>
        <w:t xml:space="preserve">edo: </w:t>
      </w:r>
      <w:r w:rsidRPr="00354F26">
        <w:rPr>
          <w:rFonts w:eastAsia="Calibri" w:cs="Calibri"/>
          <w:b/>
          <w:bCs/>
          <w:szCs w:val="24"/>
        </w:rPr>
        <w:t>7</w:t>
      </w:r>
      <w:r>
        <w:rPr>
          <w:rFonts w:eastAsia="Calibri" w:cs="Calibri"/>
          <w:b/>
          <w:bCs/>
          <w:szCs w:val="24"/>
        </w:rPr>
        <w:t>,1</w:t>
      </w:r>
      <w:r w:rsidRPr="00354F26">
        <w:rPr>
          <w:rFonts w:eastAsia="Calibri" w:cs="Calibri"/>
          <w:b/>
          <w:bCs/>
          <w:szCs w:val="24"/>
        </w:rPr>
        <w:t xml:space="preserve"> M€</w:t>
      </w:r>
      <w:r w:rsidRPr="005B0660">
        <w:rPr>
          <w:rFonts w:eastAsia="Calibri" w:cs="Calibri"/>
          <w:bCs/>
          <w:szCs w:val="24"/>
        </w:rPr>
        <w:t>).</w:t>
      </w:r>
    </w:p>
    <w:p w:rsidR="009A29A5" w:rsidRDefault="009A29A5" w:rsidP="009A29A5">
      <w:pPr>
        <w:numPr>
          <w:ilvl w:val="0"/>
          <w:numId w:val="15"/>
        </w:numPr>
        <w:ind w:left="567"/>
        <w:contextualSpacing/>
        <w:rPr>
          <w:bCs/>
          <w:szCs w:val="24"/>
        </w:rPr>
      </w:pPr>
      <w:r>
        <w:rPr>
          <w:rFonts w:cstheme="minorHAnsi"/>
          <w:bCs/>
          <w:szCs w:val="24"/>
        </w:rPr>
        <w:t xml:space="preserve">Además, SEITTSA destinará una partida de </w:t>
      </w:r>
      <w:r>
        <w:rPr>
          <w:rFonts w:cstheme="minorHAnsi"/>
          <w:b/>
          <w:bCs/>
          <w:szCs w:val="24"/>
        </w:rPr>
        <w:t>59,</w:t>
      </w:r>
      <w:r w:rsidRPr="00AC4491">
        <w:rPr>
          <w:rFonts w:cstheme="minorHAnsi"/>
          <w:b/>
          <w:bCs/>
          <w:szCs w:val="24"/>
        </w:rPr>
        <w:t>6</w:t>
      </w:r>
      <w:r w:rsidRPr="009367FF">
        <w:rPr>
          <w:rFonts w:cstheme="minorHAnsi"/>
          <w:b/>
          <w:bCs/>
          <w:szCs w:val="24"/>
        </w:rPr>
        <w:t xml:space="preserve"> M€</w:t>
      </w:r>
      <w:r>
        <w:rPr>
          <w:rFonts w:cstheme="minorHAnsi"/>
          <w:bCs/>
          <w:szCs w:val="24"/>
        </w:rPr>
        <w:t xml:space="preserve"> para inversiones en las autopistas de peaje que ha pasado a gestionar a lo largo de 2018, correspondientes a la Comunidad Autónoma de Madrid (R-2, R-3, R-4, R-5, M-12).</w:t>
      </w:r>
    </w:p>
    <w:p w:rsidR="009A29A5" w:rsidRPr="0057633B" w:rsidRDefault="009A29A5" w:rsidP="009A29A5">
      <w:pPr>
        <w:pStyle w:val="Ttulo3"/>
      </w:pPr>
      <w:r w:rsidRPr="00862429">
        <w:t>Obras</w:t>
      </w:r>
    </w:p>
    <w:p w:rsidR="009A29A5" w:rsidRPr="00B53F65" w:rsidRDefault="009A29A5" w:rsidP="009A29A5">
      <w:pPr>
        <w:pStyle w:val="Prrafodelista"/>
        <w:numPr>
          <w:ilvl w:val="0"/>
          <w:numId w:val="30"/>
        </w:numPr>
        <w:ind w:left="454"/>
        <w:contextualSpacing w:val="0"/>
      </w:pPr>
      <w:r>
        <w:rPr>
          <w:szCs w:val="24"/>
        </w:rPr>
        <w:t>S</w:t>
      </w:r>
      <w:r w:rsidRPr="00C566C9">
        <w:rPr>
          <w:szCs w:val="24"/>
        </w:rPr>
        <w:t>e destina</w:t>
      </w:r>
      <w:r>
        <w:rPr>
          <w:szCs w:val="24"/>
        </w:rPr>
        <w:t xml:space="preserve"> una partida para adjudicar y comenzar las obras de </w:t>
      </w:r>
      <w:r w:rsidRPr="00B53F65">
        <w:rPr>
          <w:rFonts w:eastAsia="Calibri"/>
          <w:b/>
        </w:rPr>
        <w:t>Remodelación del Enlace M-40 – A-6 (El Barrial)</w:t>
      </w:r>
      <w:r>
        <w:rPr>
          <w:rFonts w:eastAsia="Calibri"/>
        </w:rPr>
        <w:t xml:space="preserve"> (1,0</w:t>
      </w:r>
      <w:r w:rsidRPr="00B53F65">
        <w:rPr>
          <w:rFonts w:eastAsia="Calibri"/>
        </w:rPr>
        <w:t xml:space="preserve"> M€)</w:t>
      </w:r>
      <w:r>
        <w:rPr>
          <w:rFonts w:eastAsia="Calibri"/>
        </w:rPr>
        <w:t>, licitadas en diciembre de 2018.</w:t>
      </w:r>
    </w:p>
    <w:p w:rsidR="009A29A5" w:rsidRPr="0057633B" w:rsidRDefault="009A29A5" w:rsidP="009A29A5">
      <w:pPr>
        <w:pStyle w:val="Ttulo3"/>
      </w:pPr>
      <w:r w:rsidRPr="00C566C9">
        <w:lastRenderedPageBreak/>
        <w:t>Estudios y Proyectos</w:t>
      </w:r>
    </w:p>
    <w:p w:rsidR="009A29A5" w:rsidRPr="00B53F65" w:rsidRDefault="009A29A5" w:rsidP="009A29A5">
      <w:pPr>
        <w:pStyle w:val="Prrafodelista"/>
        <w:numPr>
          <w:ilvl w:val="0"/>
          <w:numId w:val="30"/>
        </w:numPr>
        <w:ind w:left="454"/>
        <w:contextualSpacing w:val="0"/>
        <w:rPr>
          <w:szCs w:val="24"/>
        </w:rPr>
      </w:pPr>
      <w:r w:rsidRPr="00B53F65">
        <w:rPr>
          <w:szCs w:val="24"/>
        </w:rPr>
        <w:t xml:space="preserve">Se prevén las partidas necesarias para la redacción de </w:t>
      </w:r>
      <w:r w:rsidRPr="00B53F65">
        <w:rPr>
          <w:b/>
          <w:szCs w:val="24"/>
        </w:rPr>
        <w:t>estudios y proyectos</w:t>
      </w:r>
      <w:r w:rsidRPr="00B53F65">
        <w:rPr>
          <w:szCs w:val="24"/>
        </w:rPr>
        <w:t xml:space="preserve"> de futuras actuaciones en la Red de Carreteras del Estado de la Comunidad de Madrid, tales como:</w:t>
      </w:r>
    </w:p>
    <w:p w:rsidR="009A29A5" w:rsidRPr="0057633B" w:rsidRDefault="009A29A5" w:rsidP="003F1755">
      <w:pPr>
        <w:numPr>
          <w:ilvl w:val="1"/>
          <w:numId w:val="31"/>
        </w:numPr>
        <w:spacing w:after="0"/>
        <w:rPr>
          <w:rFonts w:eastAsia="Calibri" w:cstheme="minorHAnsi"/>
        </w:rPr>
      </w:pPr>
      <w:r w:rsidRPr="00C566C9">
        <w:rPr>
          <w:rFonts w:eastAsia="Calibri"/>
        </w:rPr>
        <w:t xml:space="preserve">Actuaciones a corto y medio plazo para la </w:t>
      </w:r>
      <w:r w:rsidRPr="00C566C9">
        <w:rPr>
          <w:rFonts w:eastAsia="Calibri"/>
          <w:b/>
        </w:rPr>
        <w:t>mejora de la accesibilidad del transporte público en las autovías de acceso a Madrid</w:t>
      </w:r>
      <w:r w:rsidRPr="00C566C9">
        <w:rPr>
          <w:rFonts w:eastAsia="Calibri"/>
        </w:rPr>
        <w:t xml:space="preserve"> (A-1, A-2, A-3, A-4, A-5 y A-6).</w:t>
      </w:r>
      <w:r>
        <w:rPr>
          <w:rFonts w:eastAsia="Calibri"/>
        </w:rPr>
        <w:t xml:space="preserve"> </w:t>
      </w:r>
    </w:p>
    <w:p w:rsidR="009A29A5" w:rsidRPr="006018C3" w:rsidRDefault="009A29A5" w:rsidP="003F1755">
      <w:pPr>
        <w:numPr>
          <w:ilvl w:val="1"/>
          <w:numId w:val="31"/>
        </w:numPr>
        <w:spacing w:after="0"/>
        <w:rPr>
          <w:rFonts w:eastAsia="Calibri" w:cstheme="minorHAnsi"/>
        </w:rPr>
      </w:pPr>
      <w:r w:rsidRPr="00C566C9">
        <w:rPr>
          <w:rFonts w:eastAsia="Calibri"/>
        </w:rPr>
        <w:t xml:space="preserve">Ampliación con tercer carril por calzada y vías de servicio en el tramo de la A-1 entre el enlace de </w:t>
      </w:r>
      <w:r w:rsidRPr="00C566C9">
        <w:rPr>
          <w:rFonts w:eastAsia="Calibri"/>
          <w:b/>
        </w:rPr>
        <w:t>RACE-Enlace Sur de San Agustín de Guadalix</w:t>
      </w:r>
      <w:r>
        <w:rPr>
          <w:rFonts w:eastAsia="Calibri"/>
          <w:b/>
        </w:rPr>
        <w:t xml:space="preserve">. </w:t>
      </w:r>
    </w:p>
    <w:p w:rsidR="009A29A5" w:rsidRPr="000F327A" w:rsidRDefault="009A29A5" w:rsidP="003F1755">
      <w:pPr>
        <w:numPr>
          <w:ilvl w:val="1"/>
          <w:numId w:val="31"/>
        </w:numPr>
        <w:spacing w:after="0"/>
        <w:rPr>
          <w:rFonts w:eastAsia="Calibri" w:cstheme="minorHAnsi"/>
        </w:rPr>
      </w:pPr>
      <w:r w:rsidRPr="00C566C9">
        <w:rPr>
          <w:rFonts w:eastAsia="Calibri"/>
          <w:b/>
        </w:rPr>
        <w:t>Variante de la A-1 entre el Eje Aeropuerto (M-12/R-2) y El Molar</w:t>
      </w:r>
      <w:r>
        <w:rPr>
          <w:rFonts w:eastAsia="Calibri"/>
        </w:rPr>
        <w:t xml:space="preserve">, en estudio informativo. </w:t>
      </w:r>
    </w:p>
    <w:p w:rsidR="009A29A5" w:rsidRPr="000F327A" w:rsidRDefault="009A29A5" w:rsidP="003F1755">
      <w:pPr>
        <w:numPr>
          <w:ilvl w:val="1"/>
          <w:numId w:val="31"/>
        </w:numPr>
        <w:spacing w:after="0"/>
        <w:rPr>
          <w:rFonts w:eastAsia="Calibri" w:cstheme="minorHAnsi"/>
        </w:rPr>
      </w:pPr>
      <w:r w:rsidRPr="000F327A">
        <w:rPr>
          <w:rFonts w:eastAsia="Calibri"/>
        </w:rPr>
        <w:t xml:space="preserve">Hay dotación para el estudio de </w:t>
      </w:r>
      <w:r w:rsidRPr="000F327A">
        <w:rPr>
          <w:rFonts w:eastAsia="Calibri"/>
          <w:b/>
        </w:rPr>
        <w:t>conexión de la A-1 con la A-2.</w:t>
      </w:r>
    </w:p>
    <w:p w:rsidR="009A29A5" w:rsidRPr="003F1755" w:rsidRDefault="009A29A5" w:rsidP="009A29A5">
      <w:pPr>
        <w:numPr>
          <w:ilvl w:val="1"/>
          <w:numId w:val="31"/>
        </w:numPr>
        <w:spacing w:after="0"/>
        <w:rPr>
          <w:rFonts w:ascii="Cambria" w:hAnsi="Cambria"/>
          <w:b/>
          <w:bCs/>
          <w:sz w:val="28"/>
        </w:rPr>
      </w:pPr>
      <w:r w:rsidRPr="00C566C9">
        <w:rPr>
          <w:rFonts w:eastAsia="Calibri"/>
          <w:b/>
        </w:rPr>
        <w:t>Remodelación del nu</w:t>
      </w:r>
      <w:r>
        <w:rPr>
          <w:rFonts w:eastAsia="Calibri"/>
          <w:b/>
        </w:rPr>
        <w:t>do Eisenhower en la autovía A-2</w:t>
      </w:r>
      <w:r w:rsidRPr="000F327A">
        <w:rPr>
          <w:rFonts w:ascii="Cambria" w:hAnsi="Cambria"/>
          <w:bCs/>
          <w:sz w:val="28"/>
        </w:rPr>
        <w:t>.</w:t>
      </w:r>
    </w:p>
    <w:p w:rsidR="003F1755" w:rsidRPr="003F1755" w:rsidRDefault="003F1755" w:rsidP="00C266E4">
      <w:pPr>
        <w:numPr>
          <w:ilvl w:val="1"/>
          <w:numId w:val="31"/>
        </w:numPr>
        <w:spacing w:after="0"/>
        <w:rPr>
          <w:rFonts w:ascii="Cambria" w:hAnsi="Cambria"/>
          <w:b/>
          <w:bCs/>
          <w:sz w:val="28"/>
        </w:rPr>
      </w:pPr>
      <w:r w:rsidRPr="003F1755">
        <w:rPr>
          <w:rFonts w:eastAsia="Calibri"/>
        </w:rPr>
        <w:t xml:space="preserve">Actuaciones para la mejora de la </w:t>
      </w:r>
      <w:r w:rsidRPr="003F1755">
        <w:rPr>
          <w:rFonts w:eastAsia="Calibri"/>
          <w:b/>
        </w:rPr>
        <w:t>accesibilidad del transporte público</w:t>
      </w:r>
      <w:r w:rsidRPr="003F1755">
        <w:rPr>
          <w:rFonts w:eastAsia="Calibri"/>
        </w:rPr>
        <w:t xml:space="preserve">, por ejemplo, el carril reservado de la A-2. </w:t>
      </w:r>
    </w:p>
    <w:p w:rsidR="009A29A5" w:rsidRPr="00C566C9" w:rsidRDefault="009A29A5" w:rsidP="009A29A5">
      <w:pPr>
        <w:ind w:left="851"/>
        <w:rPr>
          <w:rFonts w:eastAsia="Calibri" w:cstheme="minorHAnsi"/>
        </w:rPr>
      </w:pPr>
    </w:p>
    <w:p w:rsidR="009A29A5" w:rsidRPr="0057633B" w:rsidRDefault="009A29A5" w:rsidP="009A29A5">
      <w:pPr>
        <w:pStyle w:val="Ttulo3"/>
      </w:pPr>
      <w:r w:rsidRPr="00C566C9">
        <w:t>Conservación y Seguridad Vial</w:t>
      </w:r>
    </w:p>
    <w:p w:rsidR="009A29A5" w:rsidRPr="007C7522" w:rsidRDefault="009A29A5" w:rsidP="009A29A5">
      <w:pPr>
        <w:rPr>
          <w:rFonts w:eastAsia="Calibri"/>
        </w:rPr>
      </w:pPr>
      <w:r w:rsidRPr="009F0C1A">
        <w:rPr>
          <w:rFonts w:eastAsia="Calibri"/>
        </w:rPr>
        <w:t xml:space="preserve">Para la </w:t>
      </w:r>
      <w:r w:rsidRPr="009F0C1A">
        <w:rPr>
          <w:rFonts w:eastAsia="Calibri"/>
          <w:b/>
        </w:rPr>
        <w:t>conservación y mantenimiento</w:t>
      </w:r>
      <w:r>
        <w:rPr>
          <w:rFonts w:eastAsia="Calibri"/>
          <w:b/>
        </w:rPr>
        <w:t xml:space="preserve"> </w:t>
      </w:r>
      <w:r w:rsidRPr="009F0C1A">
        <w:rPr>
          <w:rFonts w:eastAsia="Calibri"/>
        </w:rPr>
        <w:t>de la Red de Carreteras del Estado en la Comunidad de Madrid se contemplan partidas</w:t>
      </w:r>
      <w:r>
        <w:rPr>
          <w:rFonts w:eastAsia="Calibri"/>
        </w:rPr>
        <w:t xml:space="preserve"> </w:t>
      </w:r>
      <w:r w:rsidRPr="009F0C1A">
        <w:rPr>
          <w:rFonts w:eastAsia="Calibri"/>
        </w:rPr>
        <w:t xml:space="preserve">en el presupuesto por importe de </w:t>
      </w:r>
      <w:r>
        <w:rPr>
          <w:rFonts w:eastAsia="Calibri"/>
          <w:b/>
        </w:rPr>
        <w:t xml:space="preserve">73,7 </w:t>
      </w:r>
      <w:r w:rsidRPr="009F0C1A">
        <w:rPr>
          <w:rFonts w:eastAsia="Calibri"/>
          <w:b/>
        </w:rPr>
        <w:t>M€</w:t>
      </w:r>
      <w:r>
        <w:rPr>
          <w:rFonts w:eastAsia="Calibri"/>
          <w:b/>
        </w:rPr>
        <w:t xml:space="preserve"> </w:t>
      </w:r>
      <w:r w:rsidRPr="007C7522">
        <w:rPr>
          <w:rFonts w:eastAsia="Calibri"/>
        </w:rPr>
        <w:t>(73,1 M€ de la DGC+0,6 de la SEITT).</w:t>
      </w:r>
    </w:p>
    <w:p w:rsidR="009A29A5" w:rsidRPr="00C566C9" w:rsidRDefault="009A29A5" w:rsidP="009A29A5">
      <w:pPr>
        <w:numPr>
          <w:ilvl w:val="1"/>
          <w:numId w:val="31"/>
        </w:numPr>
        <w:contextualSpacing/>
        <w:rPr>
          <w:rFonts w:eastAsia="Calibri"/>
        </w:rPr>
      </w:pPr>
      <w:r w:rsidRPr="00C566C9">
        <w:rPr>
          <w:rFonts w:eastAsia="Calibri"/>
        </w:rPr>
        <w:t>Dentro de</w:t>
      </w:r>
      <w:r>
        <w:rPr>
          <w:rFonts w:eastAsia="Calibri"/>
        </w:rPr>
        <w:t xml:space="preserve"> </w:t>
      </w:r>
      <w:r w:rsidRPr="00C566C9">
        <w:rPr>
          <w:rFonts w:eastAsia="Calibri"/>
        </w:rPr>
        <w:t>la dotación asignada a la DGC, podemos destacar</w:t>
      </w:r>
      <w:r>
        <w:rPr>
          <w:rFonts w:eastAsia="Calibri"/>
        </w:rPr>
        <w:t xml:space="preserve"> </w:t>
      </w:r>
      <w:r w:rsidRPr="00C566C9">
        <w:rPr>
          <w:rFonts w:eastAsia="Calibri"/>
        </w:rPr>
        <w:t>los importes destinados a la conservación y mejora de los tramos</w:t>
      </w:r>
      <w:r w:rsidRPr="00C566C9">
        <w:rPr>
          <w:rFonts w:eastAsia="Calibri"/>
          <w:b/>
        </w:rPr>
        <w:t xml:space="preserve"> de las autovías de primera generación</w:t>
      </w:r>
      <w:r w:rsidRPr="00C566C9">
        <w:rPr>
          <w:rFonts w:eastAsia="Calibri"/>
        </w:rPr>
        <w:t xml:space="preserve"> gestionadas a través de los correspondientes contratos de concesión:</w:t>
      </w:r>
    </w:p>
    <w:p w:rsidR="009A29A5" w:rsidRPr="00C566C9" w:rsidRDefault="009A29A5" w:rsidP="009A29A5">
      <w:pPr>
        <w:numPr>
          <w:ilvl w:val="2"/>
          <w:numId w:val="31"/>
        </w:numPr>
        <w:contextualSpacing/>
        <w:rPr>
          <w:rFonts w:eastAsia="Calibri"/>
        </w:rPr>
      </w:pPr>
      <w:r w:rsidRPr="00C566C9">
        <w:rPr>
          <w:rFonts w:eastAsia="Calibri"/>
        </w:rPr>
        <w:lastRenderedPageBreak/>
        <w:t xml:space="preserve">La A-2 en el tramo Madrid – R-2 (Guadalajara): </w:t>
      </w:r>
      <w:r>
        <w:rPr>
          <w:rFonts w:eastAsia="Calibri"/>
        </w:rPr>
        <w:t>21,0</w:t>
      </w:r>
      <w:r w:rsidRPr="00C566C9">
        <w:rPr>
          <w:rFonts w:eastAsia="Calibri"/>
        </w:rPr>
        <w:t xml:space="preserve"> M€ </w:t>
      </w:r>
    </w:p>
    <w:p w:rsidR="009A29A5" w:rsidRPr="00C566C9" w:rsidRDefault="009A29A5" w:rsidP="009A29A5">
      <w:pPr>
        <w:numPr>
          <w:ilvl w:val="2"/>
          <w:numId w:val="31"/>
        </w:numPr>
        <w:rPr>
          <w:rFonts w:eastAsia="Calibri"/>
        </w:rPr>
      </w:pPr>
      <w:r w:rsidRPr="00C566C9">
        <w:rPr>
          <w:rFonts w:eastAsia="Calibri"/>
        </w:rPr>
        <w:t xml:space="preserve">La A-4 en el tramo Madrid – R-4 (Ocaña): </w:t>
      </w:r>
      <w:r>
        <w:rPr>
          <w:rFonts w:eastAsia="Calibri"/>
        </w:rPr>
        <w:t>13,9</w:t>
      </w:r>
      <w:r w:rsidRPr="00C566C9">
        <w:rPr>
          <w:rFonts w:eastAsia="Calibri"/>
        </w:rPr>
        <w:t xml:space="preserve"> M€ </w:t>
      </w:r>
    </w:p>
    <w:p w:rsidR="009A29A5" w:rsidRPr="009F0C1A" w:rsidRDefault="009A29A5" w:rsidP="009A29A5">
      <w:pPr>
        <w:numPr>
          <w:ilvl w:val="1"/>
          <w:numId w:val="31"/>
        </w:numPr>
        <w:contextualSpacing/>
        <w:rPr>
          <w:rFonts w:eastAsia="Calibri"/>
          <w:szCs w:val="24"/>
        </w:rPr>
      </w:pPr>
      <w:r>
        <w:rPr>
          <w:rFonts w:eastAsia="Calibri"/>
          <w:szCs w:val="24"/>
        </w:rPr>
        <w:t>Se contemplan dotaciones para</w:t>
      </w:r>
      <w:r w:rsidRPr="009F0C1A">
        <w:rPr>
          <w:rFonts w:eastAsia="Calibri"/>
          <w:szCs w:val="24"/>
        </w:rPr>
        <w:t>, las siguientes obras de conservación en la Red de Carreteras del Estado en Madrid:</w:t>
      </w:r>
    </w:p>
    <w:p w:rsidR="009A29A5" w:rsidRDefault="009A29A5" w:rsidP="009A29A5">
      <w:pPr>
        <w:numPr>
          <w:ilvl w:val="2"/>
          <w:numId w:val="31"/>
        </w:numPr>
        <w:contextualSpacing/>
        <w:rPr>
          <w:rFonts w:eastAsia="Calibri"/>
        </w:rPr>
      </w:pPr>
      <w:r>
        <w:rPr>
          <w:rFonts w:eastAsia="Calibri"/>
        </w:rPr>
        <w:t>Rehabilitación superficial del firme de la A-3 entre los puntos kilométricos 22,650 al 37 (MD) y 25,200 al 22,600 (MI).</w:t>
      </w:r>
    </w:p>
    <w:p w:rsidR="009A29A5" w:rsidRDefault="009A29A5" w:rsidP="009A29A5">
      <w:pPr>
        <w:numPr>
          <w:ilvl w:val="2"/>
          <w:numId w:val="31"/>
        </w:numPr>
        <w:contextualSpacing/>
        <w:rPr>
          <w:rFonts w:eastAsia="Calibri"/>
        </w:rPr>
      </w:pPr>
      <w:r>
        <w:rPr>
          <w:rFonts w:eastAsia="Calibri"/>
        </w:rPr>
        <w:t>Mejora del enlace entre la autovía A-1 y la carretera N-320 y construcción de dos glorietas en la N-320 P.K. 326 Y 337,7.</w:t>
      </w:r>
    </w:p>
    <w:p w:rsidR="009A29A5" w:rsidRDefault="009A29A5" w:rsidP="009A29A5">
      <w:pPr>
        <w:numPr>
          <w:ilvl w:val="2"/>
          <w:numId w:val="31"/>
        </w:numPr>
        <w:contextualSpacing/>
        <w:rPr>
          <w:rFonts w:eastAsia="Calibri"/>
        </w:rPr>
      </w:pPr>
      <w:r>
        <w:rPr>
          <w:rFonts w:eastAsia="Calibri"/>
        </w:rPr>
        <w:t>Refuerzo del paso superior de nudo de Colmenar en la M-40.</w:t>
      </w:r>
    </w:p>
    <w:p w:rsidR="009A29A5" w:rsidRDefault="009A29A5" w:rsidP="009A29A5">
      <w:pPr>
        <w:numPr>
          <w:ilvl w:val="2"/>
          <w:numId w:val="31"/>
        </w:numPr>
        <w:contextualSpacing/>
        <w:rPr>
          <w:rFonts w:eastAsia="Calibri"/>
        </w:rPr>
      </w:pPr>
      <w:r>
        <w:rPr>
          <w:rFonts w:eastAsia="Calibri"/>
        </w:rPr>
        <w:t>Adecuación de los túneles de la provincia de Madrid al RD 635/2006.</w:t>
      </w:r>
    </w:p>
    <w:p w:rsidR="00811AA5" w:rsidRPr="00851317" w:rsidRDefault="00811AA5" w:rsidP="00851317">
      <w:pPr>
        <w:rPr>
          <w:lang w:eastAsia="es-ES"/>
        </w:rPr>
      </w:pPr>
    </w:p>
    <w:p w:rsidR="00851317" w:rsidRDefault="00851317" w:rsidP="00851317">
      <w:pPr>
        <w:pStyle w:val="Ttulo3"/>
        <w:numPr>
          <w:ilvl w:val="1"/>
          <w:numId w:val="27"/>
        </w:numPr>
      </w:pPr>
      <w:r>
        <w:t>Ferrocarriles</w:t>
      </w:r>
    </w:p>
    <w:p w:rsidR="00811AA5" w:rsidRDefault="00811AA5" w:rsidP="00811AA5">
      <w:pPr>
        <w:spacing w:before="240" w:after="240" w:line="240" w:lineRule="auto"/>
        <w:rPr>
          <w:rFonts w:cs="Calibri"/>
          <w:szCs w:val="24"/>
        </w:rPr>
      </w:pPr>
      <w:r w:rsidRPr="00494502">
        <w:rPr>
          <w:rFonts w:cs="Calibri"/>
          <w:szCs w:val="24"/>
        </w:rPr>
        <w:t xml:space="preserve">La inversión en Ferrocarriles en la Comunidad de Madrid </w:t>
      </w:r>
      <w:r w:rsidRPr="000D23D4">
        <w:t>de acuerdo al PGE-201</w:t>
      </w:r>
      <w:r>
        <w:t>9</w:t>
      </w:r>
      <w:r w:rsidRPr="000D23D4">
        <w:t xml:space="preserve"> asciende a </w:t>
      </w:r>
      <w:r w:rsidRPr="00494502">
        <w:rPr>
          <w:b/>
        </w:rPr>
        <w:t>3</w:t>
      </w:r>
      <w:r>
        <w:rPr>
          <w:b/>
        </w:rPr>
        <w:t>47,3</w:t>
      </w:r>
      <w:r w:rsidRPr="00494502">
        <w:rPr>
          <w:b/>
        </w:rPr>
        <w:t xml:space="preserve"> M€</w:t>
      </w:r>
      <w:r>
        <w:rPr>
          <w:rFonts w:cs="Calibri"/>
          <w:szCs w:val="24"/>
        </w:rPr>
        <w:t>.</w:t>
      </w:r>
      <w:r w:rsidR="00BF13B4">
        <w:rPr>
          <w:rFonts w:cs="Calibri"/>
          <w:szCs w:val="24"/>
        </w:rPr>
        <w:t xml:space="preserve"> </w:t>
      </w:r>
    </w:p>
    <w:p w:rsidR="00BF13B4" w:rsidRPr="00986C77" w:rsidRDefault="00BF13B4" w:rsidP="00184E69">
      <w:r>
        <w:t xml:space="preserve">Adicionalmente, el Ministerio destinará en 2019 </w:t>
      </w:r>
      <w:r w:rsidRPr="00BF13B4">
        <w:t xml:space="preserve">más de </w:t>
      </w:r>
      <w:r w:rsidRPr="00184E69">
        <w:rPr>
          <w:b/>
        </w:rPr>
        <w:t>167,1 M€</w:t>
      </w:r>
      <w:r w:rsidRPr="00BF13B4">
        <w:t xml:space="preserve"> para la financiación de los servicios ferroviarios declarados OSP en Madrid.</w:t>
      </w:r>
    </w:p>
    <w:p w:rsidR="00811AA5" w:rsidRDefault="00811AA5" w:rsidP="00811AA5">
      <w:pPr>
        <w:spacing w:before="240" w:after="240" w:line="240" w:lineRule="auto"/>
        <w:rPr>
          <w:rFonts w:cs="Calibri"/>
          <w:szCs w:val="24"/>
        </w:rPr>
      </w:pPr>
      <w:r w:rsidRPr="009267FF">
        <w:rPr>
          <w:rFonts w:cs="Calibri"/>
          <w:szCs w:val="24"/>
        </w:rPr>
        <w:t>Destacan:</w:t>
      </w:r>
    </w:p>
    <w:p w:rsidR="00811AA5" w:rsidRPr="005D426E" w:rsidRDefault="00811AA5" w:rsidP="00811AA5">
      <w:pPr>
        <w:spacing w:before="240" w:after="240" w:line="240" w:lineRule="auto"/>
        <w:rPr>
          <w:rFonts w:cs="Calibri"/>
          <w:b/>
          <w:szCs w:val="24"/>
          <w:u w:val="single"/>
        </w:rPr>
      </w:pPr>
      <w:r w:rsidRPr="005D426E">
        <w:rPr>
          <w:rFonts w:cs="Calibri"/>
          <w:b/>
          <w:szCs w:val="24"/>
          <w:u w:val="single"/>
        </w:rPr>
        <w:t>Alta Velocidad</w:t>
      </w:r>
    </w:p>
    <w:p w:rsidR="00811AA5" w:rsidRPr="00E9049C" w:rsidRDefault="00811AA5" w:rsidP="00811AA5">
      <w:pPr>
        <w:pStyle w:val="Prrafodelista"/>
        <w:numPr>
          <w:ilvl w:val="0"/>
          <w:numId w:val="33"/>
        </w:numPr>
        <w:spacing w:before="240" w:after="240" w:line="240" w:lineRule="auto"/>
        <w:ind w:left="426"/>
        <w:contextualSpacing w:val="0"/>
        <w:rPr>
          <w:rFonts w:cs="Calibri"/>
          <w:bCs/>
          <w:szCs w:val="24"/>
          <w:lang w:eastAsia="es-ES"/>
        </w:rPr>
      </w:pPr>
      <w:r w:rsidRPr="00E9049C">
        <w:rPr>
          <w:rFonts w:cs="Calibri"/>
          <w:kern w:val="20"/>
          <w:szCs w:val="24"/>
          <w:lang w:val="es-ES_tradnl"/>
        </w:rPr>
        <w:t xml:space="preserve">Se destinan </w:t>
      </w:r>
      <w:r w:rsidRPr="00E9049C">
        <w:rPr>
          <w:rFonts w:cs="Calibri"/>
          <w:b/>
          <w:kern w:val="20"/>
          <w:szCs w:val="24"/>
          <w:lang w:val="es-ES_tradnl"/>
        </w:rPr>
        <w:t>5,9 M€</w:t>
      </w:r>
      <w:r w:rsidRPr="00E9049C">
        <w:rPr>
          <w:rFonts w:cs="Calibri"/>
          <w:kern w:val="20"/>
          <w:szCs w:val="24"/>
          <w:lang w:val="es-ES_tradnl"/>
        </w:rPr>
        <w:t xml:space="preserve"> para finalizar las actuaciones de la conexión en ancho estándar </w:t>
      </w:r>
      <w:r w:rsidRPr="00E9049C">
        <w:rPr>
          <w:rFonts w:cs="Calibri"/>
          <w:b/>
          <w:kern w:val="20"/>
          <w:szCs w:val="24"/>
          <w:lang w:val="es-ES_tradnl"/>
        </w:rPr>
        <w:t xml:space="preserve">Chamartín-Atocha-Torrejón de Velasco </w:t>
      </w:r>
      <w:r w:rsidRPr="00E9049C">
        <w:rPr>
          <w:rFonts w:cs="Calibri"/>
          <w:kern w:val="20"/>
          <w:szCs w:val="24"/>
          <w:lang w:val="es-ES_tradnl"/>
        </w:rPr>
        <w:t xml:space="preserve">y continuar con la </w:t>
      </w:r>
      <w:r w:rsidRPr="00E9049C">
        <w:rPr>
          <w:rFonts w:cs="Calibri"/>
          <w:b/>
          <w:kern w:val="20"/>
          <w:szCs w:val="24"/>
          <w:lang w:val="es-ES_tradnl"/>
        </w:rPr>
        <w:t>segunda fase de la remodelación de la estación de Atocha</w:t>
      </w:r>
      <w:r w:rsidRPr="00E9049C">
        <w:rPr>
          <w:rFonts w:cs="Calibri"/>
          <w:kern w:val="20"/>
          <w:szCs w:val="24"/>
          <w:lang w:val="es-ES_tradnl"/>
        </w:rPr>
        <w:t xml:space="preserve">. </w:t>
      </w:r>
    </w:p>
    <w:p w:rsidR="00811AA5" w:rsidRPr="00385779" w:rsidRDefault="00811AA5" w:rsidP="00811AA5">
      <w:pPr>
        <w:pStyle w:val="Prrafodelista"/>
        <w:numPr>
          <w:ilvl w:val="0"/>
          <w:numId w:val="33"/>
        </w:numPr>
        <w:spacing w:before="240" w:after="240" w:line="240" w:lineRule="auto"/>
        <w:ind w:left="426"/>
        <w:contextualSpacing w:val="0"/>
        <w:rPr>
          <w:rFonts w:ascii="Arial" w:hAnsi="Arial" w:cs="Arial"/>
          <w:szCs w:val="28"/>
        </w:rPr>
      </w:pPr>
      <w:r w:rsidRPr="00E9049C">
        <w:rPr>
          <w:rFonts w:cs="Calibri"/>
          <w:kern w:val="20"/>
          <w:szCs w:val="24"/>
          <w:lang w:val="es-ES_tradnl"/>
        </w:rPr>
        <w:t xml:space="preserve">Relacionada con la inversión anterior, se reordena la playa de vías de la </w:t>
      </w:r>
      <w:r w:rsidRPr="00E9049C">
        <w:rPr>
          <w:rFonts w:cs="Calibri"/>
          <w:b/>
          <w:kern w:val="20"/>
          <w:szCs w:val="24"/>
          <w:lang w:val="es-ES_tradnl"/>
        </w:rPr>
        <w:t>cabecera norte de Chamartín</w:t>
      </w:r>
      <w:r w:rsidRPr="00E9049C">
        <w:rPr>
          <w:rFonts w:cs="Calibri"/>
          <w:kern w:val="20"/>
          <w:szCs w:val="24"/>
          <w:lang w:val="es-ES_tradnl"/>
        </w:rPr>
        <w:t xml:space="preserve">, tanto </w:t>
      </w:r>
      <w:r w:rsidRPr="00E9049C">
        <w:rPr>
          <w:rFonts w:cs="Calibri"/>
          <w:kern w:val="20"/>
          <w:szCs w:val="24"/>
          <w:lang w:val="es-ES_tradnl"/>
        </w:rPr>
        <w:lastRenderedPageBreak/>
        <w:t>de ancho estándar como de ancho ibérico, con objeto de optimizar los tráficos con la puesta de explotación del túnel Atocha-Chamartín y sus afecciones a la red de cercanías. Asimismo</w:t>
      </w:r>
      <w:r w:rsidR="002B0277">
        <w:rPr>
          <w:rFonts w:cs="Calibri"/>
          <w:kern w:val="20"/>
          <w:szCs w:val="24"/>
          <w:lang w:val="es-ES_tradnl"/>
        </w:rPr>
        <w:t>,</w:t>
      </w:r>
      <w:r w:rsidRPr="00E9049C">
        <w:rPr>
          <w:rFonts w:cs="Calibri"/>
          <w:kern w:val="20"/>
          <w:szCs w:val="24"/>
          <w:lang w:val="es-ES_tradnl"/>
        </w:rPr>
        <w:t xml:space="preserve"> está prevista la ampliación del edificio de la estación y de los andenes (actualmente en fase de redacción proyecto). Para estas actuaciones se contempla una dotación en 2019 de </w:t>
      </w:r>
      <w:r w:rsidRPr="00E9049C">
        <w:rPr>
          <w:rFonts w:cs="Calibri"/>
          <w:b/>
          <w:kern w:val="20"/>
          <w:szCs w:val="24"/>
          <w:lang w:val="es-ES_tradnl"/>
        </w:rPr>
        <w:t xml:space="preserve">36,4 M€ </w:t>
      </w:r>
      <w:r w:rsidRPr="00385779">
        <w:rPr>
          <w:rFonts w:cs="Calibri"/>
          <w:kern w:val="20"/>
          <w:szCs w:val="24"/>
          <w:lang w:val="es-ES_tradnl"/>
        </w:rPr>
        <w:t xml:space="preserve">(el presupuesto de Adif también contempla </w:t>
      </w:r>
      <w:r>
        <w:rPr>
          <w:rFonts w:cs="Calibri"/>
          <w:kern w:val="20"/>
          <w:szCs w:val="24"/>
          <w:lang w:val="es-ES_tradnl"/>
        </w:rPr>
        <w:t>dotación adicional)</w:t>
      </w:r>
      <w:r w:rsidRPr="00385779">
        <w:rPr>
          <w:rFonts w:cs="Calibri"/>
          <w:kern w:val="20"/>
          <w:szCs w:val="24"/>
          <w:lang w:val="es-ES_tradnl"/>
        </w:rPr>
        <w:t xml:space="preserve">. </w:t>
      </w:r>
    </w:p>
    <w:p w:rsidR="00811AA5" w:rsidRPr="00E9049C" w:rsidRDefault="00811AA5" w:rsidP="00811AA5">
      <w:pPr>
        <w:pStyle w:val="Prrafodelista"/>
        <w:numPr>
          <w:ilvl w:val="0"/>
          <w:numId w:val="33"/>
        </w:numPr>
        <w:spacing w:before="240" w:after="240" w:line="240" w:lineRule="auto"/>
        <w:ind w:left="426"/>
        <w:contextualSpacing w:val="0"/>
        <w:rPr>
          <w:rFonts w:cs="Calibri"/>
          <w:kern w:val="20"/>
          <w:szCs w:val="24"/>
          <w:lang w:val="es-ES_tradnl"/>
        </w:rPr>
      </w:pPr>
      <w:r w:rsidRPr="00E9049C">
        <w:rPr>
          <w:rFonts w:cs="Calibri"/>
          <w:kern w:val="20"/>
          <w:szCs w:val="24"/>
          <w:lang w:val="es-ES_tradnl"/>
        </w:rPr>
        <w:t>Además, se incluye la dotación para iniciar las actuaciones de la conexión entre la LAV Madrid-Barcelona y la LAV Madrid-Levante, permitiendo que todas las líneas que actualmente finalizan en Atocha, puedan también tener continuidad hasta Chamartín, lo que permitirá establecer servicios directos entre todas las líneas que pasan por Madrid.</w:t>
      </w:r>
    </w:p>
    <w:p w:rsidR="00811AA5" w:rsidRPr="00811AA5" w:rsidRDefault="00811AA5" w:rsidP="00811AA5">
      <w:pPr>
        <w:pStyle w:val="Prrafodelista"/>
        <w:numPr>
          <w:ilvl w:val="0"/>
          <w:numId w:val="33"/>
        </w:numPr>
        <w:spacing w:before="240" w:after="240" w:line="240" w:lineRule="auto"/>
        <w:ind w:left="426"/>
        <w:contextualSpacing w:val="0"/>
        <w:rPr>
          <w:rFonts w:cs="Calibri"/>
          <w:kern w:val="20"/>
          <w:szCs w:val="24"/>
          <w:lang w:val="es-ES_tradnl"/>
        </w:rPr>
      </w:pPr>
      <w:r w:rsidRPr="00DE718C">
        <w:rPr>
          <w:rFonts w:cs="Calibri"/>
          <w:kern w:val="20"/>
          <w:szCs w:val="24"/>
          <w:lang w:val="es-ES_tradnl"/>
        </w:rPr>
        <w:t xml:space="preserve">Asimismo, los presupuestos de </w:t>
      </w:r>
      <w:r w:rsidRPr="00DE718C">
        <w:rPr>
          <w:rFonts w:cs="Calibri"/>
          <w:b/>
          <w:kern w:val="20"/>
          <w:szCs w:val="24"/>
          <w:lang w:val="es-ES_tradnl"/>
        </w:rPr>
        <w:t>ADIF Alta Velocidad</w:t>
      </w:r>
      <w:r w:rsidRPr="00DE718C">
        <w:rPr>
          <w:rFonts w:cs="Calibri"/>
          <w:kern w:val="20"/>
          <w:szCs w:val="24"/>
          <w:lang w:val="es-ES_tradnl"/>
        </w:rPr>
        <w:t xml:space="preserve"> contemplan </w:t>
      </w:r>
      <w:r w:rsidRPr="006A7ECB">
        <w:rPr>
          <w:rFonts w:cs="Calibri"/>
          <w:b/>
          <w:kern w:val="20"/>
          <w:szCs w:val="24"/>
          <w:lang w:val="es-ES_tradnl"/>
        </w:rPr>
        <w:t>8,3</w:t>
      </w:r>
      <w:r w:rsidRPr="00DE718C">
        <w:rPr>
          <w:rFonts w:cs="Calibri"/>
          <w:b/>
          <w:kern w:val="20"/>
          <w:szCs w:val="24"/>
          <w:lang w:val="es-ES_tradnl"/>
        </w:rPr>
        <w:t xml:space="preserve"> M€</w:t>
      </w:r>
      <w:r w:rsidRPr="00DE718C">
        <w:rPr>
          <w:rFonts w:cs="Calibri"/>
          <w:kern w:val="20"/>
          <w:szCs w:val="24"/>
          <w:lang w:val="es-ES_tradnl"/>
        </w:rPr>
        <w:t xml:space="preserve"> para </w:t>
      </w:r>
      <w:r w:rsidRPr="00DE718C">
        <w:rPr>
          <w:rFonts w:cs="Calibri"/>
          <w:b/>
          <w:kern w:val="20"/>
          <w:szCs w:val="24"/>
          <w:lang w:val="es-ES_tradnl"/>
        </w:rPr>
        <w:t xml:space="preserve">inversión en líneas </w:t>
      </w:r>
      <w:r>
        <w:rPr>
          <w:rFonts w:cs="Calibri"/>
          <w:b/>
          <w:kern w:val="20"/>
          <w:szCs w:val="24"/>
          <w:lang w:val="es-ES_tradnl"/>
        </w:rPr>
        <w:t>y estaciones en explotación</w:t>
      </w:r>
      <w:r w:rsidRPr="00D943EF">
        <w:rPr>
          <w:rFonts w:cs="Calibri"/>
          <w:b/>
          <w:kern w:val="20"/>
          <w:szCs w:val="24"/>
          <w:lang w:val="es-ES_tradnl"/>
        </w:rPr>
        <w:t>,</w:t>
      </w:r>
      <w:r>
        <w:rPr>
          <w:rFonts w:cs="Calibri"/>
          <w:b/>
          <w:kern w:val="20"/>
          <w:szCs w:val="24"/>
          <w:lang w:val="es-ES_tradnl"/>
        </w:rPr>
        <w:t xml:space="preserve"> </w:t>
      </w:r>
      <w:r w:rsidRPr="00DE718C">
        <w:rPr>
          <w:rFonts w:cs="Calibri"/>
          <w:kern w:val="20"/>
          <w:szCs w:val="24"/>
          <w:lang w:val="es-ES_tradnl"/>
        </w:rPr>
        <w:t xml:space="preserve">incluye dotación </w:t>
      </w:r>
      <w:r>
        <w:rPr>
          <w:rFonts w:cs="Calibri"/>
          <w:kern w:val="20"/>
          <w:szCs w:val="24"/>
          <w:lang w:val="es-ES_tradnl"/>
        </w:rPr>
        <w:t xml:space="preserve">para </w:t>
      </w:r>
      <w:r w:rsidRPr="00DE718C">
        <w:rPr>
          <w:rFonts w:cs="Calibri"/>
          <w:kern w:val="20"/>
          <w:szCs w:val="24"/>
          <w:lang w:val="es-ES_tradnl"/>
        </w:rPr>
        <w:t>completar actuaciones complementarias o inversiones de reposición.</w:t>
      </w:r>
    </w:p>
    <w:p w:rsidR="00811AA5" w:rsidRPr="00E9049C" w:rsidRDefault="00811AA5" w:rsidP="00811AA5">
      <w:pPr>
        <w:spacing w:before="240" w:after="240" w:line="240" w:lineRule="auto"/>
        <w:rPr>
          <w:rFonts w:cs="Calibri"/>
          <w:b/>
          <w:szCs w:val="24"/>
          <w:u w:val="single"/>
        </w:rPr>
      </w:pPr>
      <w:r>
        <w:rPr>
          <w:rFonts w:cs="Calibri"/>
          <w:b/>
          <w:szCs w:val="24"/>
          <w:u w:val="single"/>
        </w:rPr>
        <w:t>Cercanías</w:t>
      </w:r>
    </w:p>
    <w:p w:rsidR="00811AA5" w:rsidRDefault="00AD30A4" w:rsidP="00811AA5">
      <w:pPr>
        <w:pStyle w:val="Prrafodelista"/>
        <w:numPr>
          <w:ilvl w:val="0"/>
          <w:numId w:val="33"/>
        </w:numPr>
        <w:spacing w:before="240" w:after="240" w:line="240" w:lineRule="auto"/>
        <w:ind w:left="426"/>
        <w:contextualSpacing w:val="0"/>
      </w:pPr>
      <w:r>
        <w:t xml:space="preserve">El presupuesto prioriza el impulso a las </w:t>
      </w:r>
      <w:r w:rsidR="00811AA5" w:rsidRPr="00396BE0">
        <w:rPr>
          <w:b/>
        </w:rPr>
        <w:t>Cercanías de Madrid</w:t>
      </w:r>
      <w:r w:rsidR="00811AA5" w:rsidRPr="00BD438E">
        <w:t>,</w:t>
      </w:r>
      <w:r w:rsidR="00811AA5" w:rsidRPr="00396BE0">
        <w:rPr>
          <w:b/>
        </w:rPr>
        <w:t xml:space="preserve"> </w:t>
      </w:r>
      <w:r>
        <w:t>para seguir acometiendo</w:t>
      </w:r>
      <w:r w:rsidR="00811AA5" w:rsidRPr="00396BE0">
        <w:t xml:space="preserve"> las actuaciones contempladas en el nuevo</w:t>
      </w:r>
      <w:r w:rsidR="00811AA5" w:rsidRPr="00396BE0">
        <w:rPr>
          <w:b/>
        </w:rPr>
        <w:t xml:space="preserve"> Plan</w:t>
      </w:r>
      <w:r w:rsidR="00811AA5" w:rsidRPr="00396BE0">
        <w:t>, destacando:</w:t>
      </w:r>
    </w:p>
    <w:p w:rsidR="00811AA5" w:rsidRPr="00A16FE7" w:rsidRDefault="00811AA5" w:rsidP="00811AA5">
      <w:pPr>
        <w:pStyle w:val="Prrafodelista"/>
        <w:numPr>
          <w:ilvl w:val="1"/>
          <w:numId w:val="37"/>
        </w:numPr>
        <w:spacing w:before="240" w:after="240" w:line="240" w:lineRule="auto"/>
        <w:ind w:left="993"/>
        <w:contextualSpacing w:val="0"/>
      </w:pPr>
      <w:r>
        <w:t>Obras de r</w:t>
      </w:r>
      <w:r w:rsidRPr="00A16FE7">
        <w:t xml:space="preserve">enovación de vía y electrificación del </w:t>
      </w:r>
      <w:r w:rsidRPr="00A16FE7">
        <w:rPr>
          <w:b/>
        </w:rPr>
        <w:t>túnel Atocha-Recoletos-Chamartín</w:t>
      </w:r>
    </w:p>
    <w:p w:rsidR="00811AA5" w:rsidRPr="00A16FE7" w:rsidRDefault="00811AA5" w:rsidP="00811AA5">
      <w:pPr>
        <w:pStyle w:val="Prrafodelista"/>
        <w:numPr>
          <w:ilvl w:val="1"/>
          <w:numId w:val="37"/>
        </w:numPr>
        <w:spacing w:before="240" w:after="240" w:line="240" w:lineRule="auto"/>
        <w:ind w:left="993"/>
        <w:contextualSpacing w:val="0"/>
      </w:pPr>
      <w:r w:rsidRPr="00747DBD">
        <w:t>Obras de</w:t>
      </w:r>
      <w:r>
        <w:rPr>
          <w:b/>
        </w:rPr>
        <w:t xml:space="preserve"> </w:t>
      </w:r>
      <w:r w:rsidRPr="00A16FE7">
        <w:rPr>
          <w:b/>
        </w:rPr>
        <w:t>Remodelación de vías en la estación de Chamartín</w:t>
      </w:r>
      <w:r w:rsidRPr="00A16FE7">
        <w:t xml:space="preserve"> (Cabecera Norte de Chamartín).</w:t>
      </w:r>
    </w:p>
    <w:p w:rsidR="00811AA5" w:rsidRDefault="00811AA5" w:rsidP="00811AA5">
      <w:pPr>
        <w:pStyle w:val="Prrafodelista"/>
        <w:numPr>
          <w:ilvl w:val="1"/>
          <w:numId w:val="37"/>
        </w:numPr>
        <w:spacing w:before="240" w:after="240" w:line="240" w:lineRule="auto"/>
        <w:ind w:left="993"/>
        <w:contextualSpacing w:val="0"/>
      </w:pPr>
      <w:r>
        <w:t>Obras de implantación del b</w:t>
      </w:r>
      <w:r w:rsidRPr="00A16FE7">
        <w:t>loqueo automático banalizado (BAB)</w:t>
      </w:r>
      <w:r w:rsidRPr="00A16FE7">
        <w:rPr>
          <w:b/>
        </w:rPr>
        <w:t xml:space="preserve"> San Cristóbal – Aranjuez</w:t>
      </w:r>
      <w:r w:rsidRPr="00A16FE7">
        <w:t xml:space="preserve"> (C-3).</w:t>
      </w:r>
    </w:p>
    <w:p w:rsidR="00811AA5" w:rsidRPr="004D7EA2" w:rsidRDefault="00811AA5" w:rsidP="00811AA5">
      <w:pPr>
        <w:pStyle w:val="Prrafodelista"/>
        <w:numPr>
          <w:ilvl w:val="1"/>
          <w:numId w:val="37"/>
        </w:numPr>
        <w:spacing w:before="240" w:after="240" w:line="240" w:lineRule="auto"/>
        <w:ind w:left="993"/>
        <w:contextualSpacing w:val="0"/>
      </w:pPr>
      <w:r w:rsidRPr="004D7EA2">
        <w:t xml:space="preserve">Continuación del proyecto de </w:t>
      </w:r>
      <w:r w:rsidRPr="004D7EA2">
        <w:rPr>
          <w:b/>
        </w:rPr>
        <w:t>ampliación de dos a cuatro vías en el tramo Pinar de las Rozas - Villalba</w:t>
      </w:r>
      <w:r w:rsidRPr="004D7EA2">
        <w:t xml:space="preserve"> (primera fase: estación Pinar de las Rozas- Las Matas hasta la A6). </w:t>
      </w:r>
    </w:p>
    <w:p w:rsidR="00811AA5" w:rsidRPr="00A16FE7" w:rsidRDefault="00811AA5" w:rsidP="00811AA5">
      <w:pPr>
        <w:pStyle w:val="Prrafodelista"/>
        <w:numPr>
          <w:ilvl w:val="1"/>
          <w:numId w:val="37"/>
        </w:numPr>
        <w:spacing w:before="240" w:after="240" w:line="240" w:lineRule="auto"/>
        <w:ind w:left="993"/>
        <w:contextualSpacing w:val="0"/>
      </w:pPr>
      <w:r w:rsidRPr="00A16FE7">
        <w:lastRenderedPageBreak/>
        <w:t xml:space="preserve">Estudio de viabilibidad de la </w:t>
      </w:r>
      <w:r w:rsidRPr="00A16FE7">
        <w:rPr>
          <w:b/>
        </w:rPr>
        <w:t>reconfiguración de vías de la estación de Atocha – Cercanías</w:t>
      </w:r>
      <w:r w:rsidRPr="00A16FE7">
        <w:t xml:space="preserve"> (configuración 4+4+2)</w:t>
      </w:r>
    </w:p>
    <w:p w:rsidR="00811AA5" w:rsidRDefault="00811AA5" w:rsidP="00811AA5">
      <w:pPr>
        <w:pStyle w:val="Prrafodelista"/>
        <w:numPr>
          <w:ilvl w:val="1"/>
          <w:numId w:val="37"/>
        </w:numPr>
        <w:spacing w:before="240" w:after="240" w:line="240" w:lineRule="auto"/>
        <w:ind w:left="993"/>
        <w:contextualSpacing w:val="0"/>
      </w:pPr>
      <w:r>
        <w:t xml:space="preserve">Continúa la </w:t>
      </w:r>
      <w:r w:rsidRPr="00747DBD">
        <w:t>instalación del ERTMS en el túnel Atocha-Sol-Chamartín y líneas confluyentes (Aranjuez-Chamartín-Villalba)</w:t>
      </w:r>
    </w:p>
    <w:p w:rsidR="00811AA5" w:rsidRPr="00F83A25" w:rsidRDefault="00811AA5" w:rsidP="00811AA5">
      <w:pPr>
        <w:pStyle w:val="Prrafodelista"/>
        <w:numPr>
          <w:ilvl w:val="1"/>
          <w:numId w:val="37"/>
        </w:numPr>
        <w:spacing w:before="240" w:after="240" w:line="240" w:lineRule="auto"/>
        <w:ind w:left="993"/>
        <w:contextualSpacing w:val="0"/>
      </w:pPr>
      <w:r w:rsidRPr="00F83A25">
        <w:t xml:space="preserve">Licitación de las obras de la nueva estación de la </w:t>
      </w:r>
      <w:r w:rsidRPr="00B76287">
        <w:rPr>
          <w:b/>
        </w:rPr>
        <w:t>Tenería</w:t>
      </w:r>
      <w:r w:rsidRPr="00F83A25">
        <w:t>.</w:t>
      </w:r>
    </w:p>
    <w:p w:rsidR="00811AA5" w:rsidRDefault="00811AA5" w:rsidP="00811AA5">
      <w:pPr>
        <w:pStyle w:val="Prrafodelista"/>
        <w:numPr>
          <w:ilvl w:val="1"/>
          <w:numId w:val="37"/>
        </w:numPr>
        <w:spacing w:before="240" w:after="240" w:line="240" w:lineRule="auto"/>
        <w:ind w:left="993"/>
        <w:contextualSpacing w:val="0"/>
      </w:pPr>
      <w:r w:rsidRPr="00F83A25">
        <w:rPr>
          <w:b/>
        </w:rPr>
        <w:t>Mejora de la dotación y accesibilidad en estaciones</w:t>
      </w:r>
      <w:r w:rsidRPr="00F83A25">
        <w:t>, por ejemplo: Ascensores y escaleras mecánicas en Atocha, Aranjuez, Alcalá de Henares, Recoletos, Vicálvaro, Ramón y Cajal, Pozuelo de Alarcón, Colmenar Viejo, Orcasitas, escaleras mecánicas en varias estaciones, así como la conexión de la estación de Sol con la de metro de Gran Vía.</w:t>
      </w:r>
    </w:p>
    <w:p w:rsidR="00811AA5" w:rsidRDefault="00BF13B4" w:rsidP="00811AA5">
      <w:pPr>
        <w:pStyle w:val="Prrafodelista"/>
        <w:numPr>
          <w:ilvl w:val="1"/>
          <w:numId w:val="37"/>
        </w:numPr>
        <w:spacing w:before="240" w:after="240" w:line="240" w:lineRule="auto"/>
        <w:ind w:left="993"/>
        <w:contextualSpacing w:val="0"/>
        <w:rPr>
          <w:rFonts w:ascii="Arial" w:hAnsi="Arial" w:cs="Arial"/>
          <w:szCs w:val="28"/>
        </w:rPr>
      </w:pPr>
      <w:r w:rsidRPr="00F83A25">
        <w:rPr>
          <w:rFonts w:cstheme="minorHAnsi"/>
        </w:rPr>
        <w:t>Además,</w:t>
      </w:r>
      <w:r w:rsidR="00811AA5" w:rsidRPr="00F83A25">
        <w:rPr>
          <w:rFonts w:cstheme="minorHAnsi"/>
        </w:rPr>
        <w:t xml:space="preserve"> se contempla dotación para continuar los </w:t>
      </w:r>
      <w:r w:rsidR="00811AA5" w:rsidRPr="00F83A25">
        <w:rPr>
          <w:rFonts w:cstheme="minorHAnsi"/>
          <w:b/>
        </w:rPr>
        <w:t>estudios y proyectos relacionados con la extensión de la red y nuevas estaciones</w:t>
      </w:r>
      <w:r w:rsidR="00811AA5" w:rsidRPr="00F83A25">
        <w:rPr>
          <w:rFonts w:cstheme="minorHAnsi"/>
        </w:rPr>
        <w:t>, destacando el Eje Transversal Este-Suroeste</w:t>
      </w:r>
      <w:r w:rsidR="00811AA5">
        <w:rPr>
          <w:rFonts w:cstheme="minorHAnsi"/>
        </w:rPr>
        <w:t xml:space="preserve"> (</w:t>
      </w:r>
      <w:r w:rsidR="00811AA5" w:rsidRPr="00F83A25">
        <w:rPr>
          <w:rFonts w:cstheme="minorHAnsi"/>
        </w:rPr>
        <w:t>San Fernando-Avda. América-Alonso Martínez-Príncipe Pío</w:t>
      </w:r>
      <w:r w:rsidR="00811AA5">
        <w:rPr>
          <w:rFonts w:cstheme="minorHAnsi"/>
        </w:rPr>
        <w:t>)</w:t>
      </w:r>
      <w:r w:rsidR="00811AA5" w:rsidRPr="00F83A25">
        <w:rPr>
          <w:rFonts w:ascii="Arial" w:hAnsi="Arial" w:cs="Arial"/>
          <w:szCs w:val="28"/>
        </w:rPr>
        <w:t>.</w:t>
      </w:r>
    </w:p>
    <w:p w:rsidR="009A0982" w:rsidRPr="00184E69" w:rsidRDefault="00811AA5" w:rsidP="009A0982">
      <w:pPr>
        <w:pStyle w:val="Prrafodelista"/>
        <w:numPr>
          <w:ilvl w:val="1"/>
          <w:numId w:val="37"/>
        </w:numPr>
        <w:spacing w:before="240" w:after="240" w:line="240" w:lineRule="auto"/>
        <w:ind w:left="993"/>
        <w:contextualSpacing w:val="0"/>
        <w:rPr>
          <w:color w:val="FF0000"/>
        </w:rPr>
      </w:pPr>
      <w:r>
        <w:rPr>
          <w:rFonts w:cstheme="minorHAnsi"/>
        </w:rPr>
        <w:t>La planificación de Adif también contempla la</w:t>
      </w:r>
      <w:r w:rsidRPr="00BF355B">
        <w:rPr>
          <w:b/>
        </w:rPr>
        <w:t xml:space="preserve"> integración </w:t>
      </w:r>
      <w:r>
        <w:rPr>
          <w:b/>
        </w:rPr>
        <w:t xml:space="preserve">del entorno del ferrocarril en la ciudad de Madrid en el ámbito de la </w:t>
      </w:r>
      <w:r w:rsidRPr="00BF355B">
        <w:rPr>
          <w:b/>
        </w:rPr>
        <w:t>estación Delicias</w:t>
      </w:r>
      <w:r w:rsidRPr="00BF355B">
        <w:t>.</w:t>
      </w:r>
    </w:p>
    <w:p w:rsidR="00BF13B4" w:rsidRPr="00184E69" w:rsidRDefault="00BF13B4" w:rsidP="00184E69">
      <w:pPr>
        <w:pStyle w:val="Prrafodelista"/>
        <w:numPr>
          <w:ilvl w:val="0"/>
          <w:numId w:val="33"/>
        </w:numPr>
        <w:spacing w:before="240" w:after="240" w:line="240" w:lineRule="auto"/>
        <w:ind w:left="426"/>
        <w:contextualSpacing w:val="0"/>
        <w:rPr>
          <w:color w:val="FF0000"/>
        </w:rPr>
      </w:pPr>
      <w:r w:rsidRPr="00184E69">
        <w:rPr>
          <w:rFonts w:cstheme="minorHAnsi"/>
          <w:szCs w:val="24"/>
        </w:rPr>
        <w:t xml:space="preserve">Además, la </w:t>
      </w:r>
      <w:r>
        <w:rPr>
          <w:rFonts w:cstheme="minorHAnsi"/>
          <w:szCs w:val="24"/>
        </w:rPr>
        <w:t>inversión principal</w:t>
      </w:r>
      <w:r w:rsidRPr="00184E69">
        <w:rPr>
          <w:rFonts w:cstheme="minorHAnsi"/>
          <w:szCs w:val="24"/>
        </w:rPr>
        <w:t xml:space="preserve"> de</w:t>
      </w:r>
      <w:r>
        <w:rPr>
          <w:rFonts w:cstheme="minorHAnsi"/>
          <w:b/>
          <w:szCs w:val="24"/>
        </w:rPr>
        <w:t xml:space="preserve"> </w:t>
      </w:r>
      <w:r w:rsidR="009A0982" w:rsidRPr="00184E69">
        <w:rPr>
          <w:rFonts w:cstheme="minorHAnsi"/>
          <w:b/>
          <w:szCs w:val="24"/>
        </w:rPr>
        <w:t>RENFE</w:t>
      </w:r>
      <w:r w:rsidR="009A0982" w:rsidRPr="009A0982">
        <w:rPr>
          <w:rFonts w:cstheme="minorHAnsi"/>
          <w:b/>
          <w:szCs w:val="24"/>
        </w:rPr>
        <w:t xml:space="preserve"> </w:t>
      </w:r>
      <w:r>
        <w:rPr>
          <w:rFonts w:cstheme="minorHAnsi"/>
          <w:szCs w:val="24"/>
        </w:rPr>
        <w:t xml:space="preserve">se destina </w:t>
      </w:r>
      <w:r w:rsidR="009A0982" w:rsidRPr="009A0982">
        <w:rPr>
          <w:rFonts w:cstheme="minorHAnsi"/>
          <w:szCs w:val="24"/>
        </w:rPr>
        <w:t>a actuaciones en material rodante, grandes reparaciones, mejora de la accesibilidad, adquisici</w:t>
      </w:r>
      <w:r w:rsidR="009A0982" w:rsidRPr="00BF13B4">
        <w:rPr>
          <w:rFonts w:cstheme="minorHAnsi"/>
          <w:szCs w:val="24"/>
        </w:rPr>
        <w:t>ón de nuevo material, seguridad en la circulación, actuaciones en talleres, sistemas de información y venta.</w:t>
      </w:r>
      <w:r>
        <w:rPr>
          <w:rFonts w:cstheme="minorHAnsi"/>
          <w:szCs w:val="24"/>
        </w:rPr>
        <w:t xml:space="preserve"> </w:t>
      </w:r>
    </w:p>
    <w:p w:rsidR="00BF13B4" w:rsidRPr="00184E69" w:rsidRDefault="00BF13B4" w:rsidP="00184E69">
      <w:pPr>
        <w:pStyle w:val="Prrafodelista"/>
        <w:spacing w:before="240" w:after="240" w:line="240" w:lineRule="auto"/>
        <w:ind w:left="426"/>
        <w:contextualSpacing w:val="0"/>
        <w:rPr>
          <w:color w:val="FF0000"/>
        </w:rPr>
      </w:pPr>
      <w:r>
        <w:rPr>
          <w:rFonts w:cstheme="minorHAnsi"/>
          <w:szCs w:val="24"/>
        </w:rPr>
        <w:t>En 2019 está prevista la licitación del contrato para adquisición del nuevo material rodante de RENFE para las Cercanías de Madrid.</w:t>
      </w:r>
    </w:p>
    <w:p w:rsidR="00811AA5" w:rsidRPr="00E9049C" w:rsidRDefault="00811AA5" w:rsidP="00811AA5">
      <w:pPr>
        <w:spacing w:before="240" w:after="240" w:line="240" w:lineRule="auto"/>
        <w:rPr>
          <w:rFonts w:cs="Calibri"/>
          <w:b/>
          <w:szCs w:val="24"/>
          <w:u w:val="single"/>
        </w:rPr>
      </w:pPr>
      <w:r>
        <w:rPr>
          <w:rFonts w:cs="Calibri"/>
          <w:b/>
          <w:szCs w:val="24"/>
          <w:u w:val="single"/>
        </w:rPr>
        <w:t>Otras inversiones</w:t>
      </w:r>
    </w:p>
    <w:p w:rsidR="00811AA5" w:rsidRPr="00A55B91" w:rsidRDefault="00811AA5" w:rsidP="00811AA5">
      <w:pPr>
        <w:pStyle w:val="Prrafodelista"/>
        <w:numPr>
          <w:ilvl w:val="0"/>
          <w:numId w:val="33"/>
        </w:numPr>
        <w:spacing w:before="240" w:after="240" w:line="240" w:lineRule="auto"/>
        <w:ind w:left="426"/>
        <w:contextualSpacing w:val="0"/>
        <w:rPr>
          <w:szCs w:val="24"/>
        </w:rPr>
      </w:pPr>
      <w:r w:rsidRPr="00A55B91">
        <w:rPr>
          <w:szCs w:val="24"/>
        </w:rPr>
        <w:lastRenderedPageBreak/>
        <w:t xml:space="preserve">Adif destina </w:t>
      </w:r>
      <w:r w:rsidRPr="00A55B91">
        <w:rPr>
          <w:b/>
          <w:szCs w:val="24"/>
        </w:rPr>
        <w:t>6,6 M€ para actuaciones en mercancías</w:t>
      </w:r>
      <w:r w:rsidRPr="00A55B91">
        <w:rPr>
          <w:szCs w:val="24"/>
        </w:rPr>
        <w:t xml:space="preserve">, destacando la implementación de apartaderos y mejoras en el corredor ferroviario Barcelona-Madrid para trenes de 750 m y la remodelación de la </w:t>
      </w:r>
      <w:r w:rsidRPr="00A55B91">
        <w:rPr>
          <w:b/>
          <w:szCs w:val="24"/>
        </w:rPr>
        <w:t>Terminal Ferroviaria de Madrid-Vicálvaro</w:t>
      </w:r>
      <w:r w:rsidRPr="00A55B91">
        <w:rPr>
          <w:szCs w:val="24"/>
        </w:rPr>
        <w:t>. Fase 1 (</w:t>
      </w:r>
      <w:r w:rsidRPr="00A55B91">
        <w:rPr>
          <w:b/>
          <w:szCs w:val="24"/>
        </w:rPr>
        <w:t>4,8 M€</w:t>
      </w:r>
      <w:r w:rsidRPr="00A55B91">
        <w:rPr>
          <w:szCs w:val="24"/>
        </w:rPr>
        <w:t>).</w:t>
      </w:r>
    </w:p>
    <w:p w:rsidR="00811AA5" w:rsidRPr="00A55B91" w:rsidRDefault="00811AA5" w:rsidP="00811AA5">
      <w:pPr>
        <w:pStyle w:val="Prrafodelista"/>
        <w:numPr>
          <w:ilvl w:val="0"/>
          <w:numId w:val="33"/>
        </w:numPr>
        <w:spacing w:before="240" w:after="240" w:line="240" w:lineRule="auto"/>
        <w:ind w:left="426"/>
        <w:contextualSpacing w:val="0"/>
        <w:rPr>
          <w:szCs w:val="24"/>
        </w:rPr>
      </w:pPr>
      <w:r w:rsidRPr="00A55B91">
        <w:rPr>
          <w:b/>
          <w:szCs w:val="24"/>
        </w:rPr>
        <w:t>Adif consigna 0,4 M€ para instalaciones (BLAU) Illescas-Navalmoral</w:t>
      </w:r>
      <w:r w:rsidRPr="00A55B91">
        <w:rPr>
          <w:szCs w:val="24"/>
        </w:rPr>
        <w:t>, con una dotación total en 201 de 9,8 M€.</w:t>
      </w:r>
    </w:p>
    <w:p w:rsidR="00811AA5" w:rsidRPr="00BF355B" w:rsidRDefault="00811AA5" w:rsidP="00811AA5">
      <w:pPr>
        <w:pStyle w:val="Prrafodelista"/>
        <w:numPr>
          <w:ilvl w:val="0"/>
          <w:numId w:val="33"/>
        </w:numPr>
        <w:spacing w:before="240" w:after="240" w:line="240" w:lineRule="auto"/>
        <w:ind w:left="426"/>
        <w:contextualSpacing w:val="0"/>
        <w:rPr>
          <w:color w:val="FF0000"/>
        </w:rPr>
      </w:pPr>
      <w:r w:rsidRPr="00BF355B">
        <w:t xml:space="preserve">Además, se prevé dotación para </w:t>
      </w:r>
      <w:r>
        <w:t>continuar con la realización del estudio que</w:t>
      </w:r>
      <w:r w:rsidRPr="00BF355B">
        <w:t xml:space="preserve"> anali</w:t>
      </w:r>
      <w:r>
        <w:t xml:space="preserve">za </w:t>
      </w:r>
      <w:r w:rsidRPr="00BF355B">
        <w:t xml:space="preserve">las diferentes </w:t>
      </w:r>
      <w:r w:rsidRPr="00BF355B">
        <w:rPr>
          <w:b/>
        </w:rPr>
        <w:t>alternativas de conexión del aeropuerto Adolfo Suárez Madrid-Barajas con la red ferroviaria existente</w:t>
      </w:r>
      <w:r>
        <w:rPr>
          <w:b/>
        </w:rPr>
        <w:t xml:space="preserve">, </w:t>
      </w:r>
      <w:r w:rsidRPr="008D261C">
        <w:t>en especial a la de</w:t>
      </w:r>
      <w:r>
        <w:rPr>
          <w:b/>
        </w:rPr>
        <w:t xml:space="preserve"> </w:t>
      </w:r>
      <w:r w:rsidRPr="00BF355B">
        <w:t>ancho estándar.</w:t>
      </w:r>
    </w:p>
    <w:p w:rsidR="00811AA5" w:rsidRPr="00851317" w:rsidRDefault="00811AA5" w:rsidP="00851317">
      <w:pPr>
        <w:rPr>
          <w:lang w:eastAsia="es-ES"/>
        </w:rPr>
      </w:pPr>
    </w:p>
    <w:p w:rsidR="00851317" w:rsidRDefault="00851317" w:rsidP="00851317">
      <w:pPr>
        <w:pStyle w:val="Ttulo3"/>
        <w:numPr>
          <w:ilvl w:val="1"/>
          <w:numId w:val="27"/>
        </w:numPr>
      </w:pPr>
      <w:r>
        <w:t>Aeropuertos</w:t>
      </w:r>
    </w:p>
    <w:p w:rsidR="00296C54" w:rsidRPr="00763214" w:rsidRDefault="00296C54" w:rsidP="00296C54">
      <w:pPr>
        <w:pStyle w:val="Prrafodelista"/>
        <w:numPr>
          <w:ilvl w:val="0"/>
          <w:numId w:val="28"/>
        </w:numPr>
        <w:ind w:left="426"/>
        <w:rPr>
          <w:b/>
          <w:sz w:val="20"/>
          <w:szCs w:val="20"/>
        </w:rPr>
      </w:pPr>
      <w:r>
        <w:t xml:space="preserve">La </w:t>
      </w:r>
      <w:r>
        <w:rPr>
          <w:b/>
          <w:bCs/>
        </w:rPr>
        <w:t>inversión total prevista</w:t>
      </w:r>
      <w:r>
        <w:t xml:space="preserve"> </w:t>
      </w:r>
      <w:r w:rsidR="00FD0739">
        <w:t xml:space="preserve">en el modo aeroportuario </w:t>
      </w:r>
      <w:r>
        <w:t xml:space="preserve">en Madrid es de </w:t>
      </w:r>
      <w:r w:rsidR="00863E64">
        <w:rPr>
          <w:b/>
          <w:bCs/>
        </w:rPr>
        <w:t>159,27</w:t>
      </w:r>
      <w:r>
        <w:rPr>
          <w:b/>
          <w:bCs/>
        </w:rPr>
        <w:t xml:space="preserve"> M€,</w:t>
      </w:r>
      <w:r>
        <w:t xml:space="preserve"> siendo las partidas más destacadas las correspondientes a las inversiones de </w:t>
      </w:r>
      <w:r>
        <w:rPr>
          <w:b/>
          <w:bCs/>
        </w:rPr>
        <w:t>Aena, S.M.E. (</w:t>
      </w:r>
      <w:r w:rsidR="00863E64">
        <w:rPr>
          <w:b/>
          <w:bCs/>
        </w:rPr>
        <w:t>105,</w:t>
      </w:r>
      <w:r w:rsidR="00763214">
        <w:rPr>
          <w:b/>
          <w:bCs/>
        </w:rPr>
        <w:t>15</w:t>
      </w:r>
      <w:r>
        <w:rPr>
          <w:b/>
          <w:bCs/>
        </w:rPr>
        <w:t xml:space="preserve"> M€)</w:t>
      </w:r>
      <w:r>
        <w:t xml:space="preserve"> y las de </w:t>
      </w:r>
      <w:r w:rsidR="00763214">
        <w:rPr>
          <w:b/>
          <w:bCs/>
        </w:rPr>
        <w:t>ENAIRE (44,56</w:t>
      </w:r>
      <w:r>
        <w:rPr>
          <w:b/>
          <w:bCs/>
        </w:rPr>
        <w:t xml:space="preserve"> M€)</w:t>
      </w:r>
      <w:r>
        <w:t xml:space="preserve">. </w:t>
      </w:r>
      <w:r w:rsidR="00763214">
        <w:t>Asimismo,</w:t>
      </w:r>
      <w:r w:rsidR="00863E64">
        <w:t xml:space="preserve"> se incluyen inversiones de la </w:t>
      </w:r>
      <w:r w:rsidR="00863E64" w:rsidRPr="00763214">
        <w:rPr>
          <w:b/>
        </w:rPr>
        <w:t xml:space="preserve">Agencia Estatal de Seguridad Aérea (AESA) </w:t>
      </w:r>
      <w:r w:rsidR="00763214" w:rsidRPr="00763214">
        <w:t>que ascienden a</w:t>
      </w:r>
      <w:r w:rsidR="00763214" w:rsidRPr="00763214">
        <w:rPr>
          <w:b/>
        </w:rPr>
        <w:t xml:space="preserve"> 6,65 M€</w:t>
      </w:r>
      <w:r w:rsidR="00763214">
        <w:t>,</w:t>
      </w:r>
      <w:r w:rsidR="00863E64">
        <w:t xml:space="preserve"> de </w:t>
      </w:r>
      <w:r w:rsidR="00763214">
        <w:t xml:space="preserve">la </w:t>
      </w:r>
      <w:r w:rsidR="00763214" w:rsidRPr="00763214">
        <w:rPr>
          <w:b/>
        </w:rPr>
        <w:t>Fundación ENAIRE, F.S.P.</w:t>
      </w:r>
      <w:r w:rsidR="00763214">
        <w:t xml:space="preserve"> que asciende</w:t>
      </w:r>
      <w:r w:rsidR="00811AA5">
        <w:t>n</w:t>
      </w:r>
      <w:r w:rsidR="00763214">
        <w:t xml:space="preserve"> a </w:t>
      </w:r>
      <w:r w:rsidR="00763214" w:rsidRPr="00763214">
        <w:rPr>
          <w:b/>
        </w:rPr>
        <w:t>2,55 M€</w:t>
      </w:r>
      <w:r w:rsidR="00763214">
        <w:t xml:space="preserve"> y de </w:t>
      </w:r>
      <w:r w:rsidR="00763214" w:rsidRPr="00763214">
        <w:rPr>
          <w:b/>
        </w:rPr>
        <w:t>SENASA</w:t>
      </w:r>
      <w:r w:rsidR="00763214">
        <w:t xml:space="preserve"> </w:t>
      </w:r>
      <w:r w:rsidR="00811AA5">
        <w:t xml:space="preserve">por importe de </w:t>
      </w:r>
      <w:r w:rsidR="00763214" w:rsidRPr="00763214">
        <w:rPr>
          <w:b/>
        </w:rPr>
        <w:t>0,35 M€.</w:t>
      </w:r>
    </w:p>
    <w:p w:rsidR="00672A5D" w:rsidRDefault="00672A5D" w:rsidP="00672A5D">
      <w:pPr>
        <w:pStyle w:val="Prrafodelista"/>
        <w:ind w:left="426"/>
        <w:rPr>
          <w:sz w:val="20"/>
          <w:szCs w:val="20"/>
        </w:rPr>
      </w:pPr>
    </w:p>
    <w:p w:rsidR="00672A5D" w:rsidRDefault="00672A5D" w:rsidP="00672A5D">
      <w:pPr>
        <w:pStyle w:val="Prrafodelista"/>
        <w:numPr>
          <w:ilvl w:val="0"/>
          <w:numId w:val="28"/>
        </w:numPr>
      </w:pPr>
      <w:r>
        <w:t xml:space="preserve">La inversión total prevista por </w:t>
      </w:r>
      <w:r w:rsidRPr="00811AA5">
        <w:rPr>
          <w:b/>
          <w:u w:val="single"/>
        </w:rPr>
        <w:t>AENA S.M.E</w:t>
      </w:r>
      <w:r w:rsidRPr="00811AA5">
        <w:rPr>
          <w:u w:val="single"/>
        </w:rPr>
        <w:t>.</w:t>
      </w:r>
      <w:r>
        <w:t xml:space="preserve"> es de </w:t>
      </w:r>
      <w:r w:rsidR="00863E64">
        <w:rPr>
          <w:b/>
        </w:rPr>
        <w:t>105,</w:t>
      </w:r>
      <w:r w:rsidR="00763214">
        <w:rPr>
          <w:b/>
        </w:rPr>
        <w:t>15</w:t>
      </w:r>
      <w:r>
        <w:rPr>
          <w:b/>
        </w:rPr>
        <w:t xml:space="preserve"> M€ en los PGE 2019</w:t>
      </w:r>
      <w:r w:rsidR="00863E64">
        <w:t xml:space="preserve"> con el siguiente desglose</w:t>
      </w:r>
      <w:r>
        <w:t xml:space="preserve"> </w:t>
      </w:r>
    </w:p>
    <w:p w:rsidR="00863E64" w:rsidRPr="00763214" w:rsidRDefault="00672A5D" w:rsidP="00863E64">
      <w:pPr>
        <w:pStyle w:val="Prrafodelista"/>
        <w:numPr>
          <w:ilvl w:val="1"/>
          <w:numId w:val="28"/>
        </w:numPr>
      </w:pPr>
      <w:r w:rsidRPr="00763214">
        <w:t xml:space="preserve">En el </w:t>
      </w:r>
      <w:r w:rsidR="00863E64" w:rsidRPr="00763214">
        <w:rPr>
          <w:b/>
          <w:u w:val="single"/>
        </w:rPr>
        <w:t>Aeropuerto de Adolfo Suárez Madrid-Barajas</w:t>
      </w:r>
    </w:p>
    <w:p w:rsidR="00863E64" w:rsidRPr="00763214" w:rsidRDefault="00863E64" w:rsidP="00863E64">
      <w:pPr>
        <w:numPr>
          <w:ilvl w:val="2"/>
          <w:numId w:val="33"/>
        </w:numPr>
        <w:contextualSpacing/>
      </w:pPr>
      <w:r w:rsidRPr="00763214">
        <w:t xml:space="preserve">La </w:t>
      </w:r>
      <w:r w:rsidRPr="00763214">
        <w:rPr>
          <w:b/>
        </w:rPr>
        <w:t>inversión prevista</w:t>
      </w:r>
      <w:r w:rsidRPr="00763214">
        <w:t xml:space="preserve"> de </w:t>
      </w:r>
      <w:r w:rsidRPr="00763214">
        <w:rPr>
          <w:b/>
        </w:rPr>
        <w:t xml:space="preserve">Aena, S.M.E. </w:t>
      </w:r>
      <w:r w:rsidRPr="00763214">
        <w:t xml:space="preserve">para el aeropuerto de Adolfo Suárez Madrid-Barajas es de </w:t>
      </w:r>
      <w:r w:rsidRPr="00763214">
        <w:rPr>
          <w:b/>
        </w:rPr>
        <w:t>104,9 M€.</w:t>
      </w:r>
      <w:r w:rsidRPr="00763214">
        <w:t xml:space="preserve"> Destacan las Actuaciones de Apoyo y Mantenimiento de las Infraestructuras; la Seguridad de personas e instalaciones; las Actuaciones en Eficiencia Ambiental; la Seguridad Operativa; la Mejora de infraestructuras de urbanización y </w:t>
      </w:r>
      <w:r w:rsidRPr="00763214">
        <w:lastRenderedPageBreak/>
        <w:t>accesos, la Plataforma de remotos T4S, la Remodelación de las Terminales T1, T2 y T3; las Actuaciones Medioambientales; Actuaciones de Desarrollo y mejora de las ayudas a la Navegación, Actuaciones en Área de Movimiento – Plataforma, Actuaciones de Mejora en la Calidad de las Compañías respecto a Medios Disponibles, así como a la Mejora del suministro eléctrico.</w:t>
      </w:r>
    </w:p>
    <w:p w:rsidR="00863E64" w:rsidRPr="00763214" w:rsidRDefault="00863E64" w:rsidP="00863E64">
      <w:pPr>
        <w:numPr>
          <w:ilvl w:val="1"/>
          <w:numId w:val="33"/>
        </w:numPr>
        <w:contextualSpacing/>
      </w:pPr>
      <w:r w:rsidRPr="00763214">
        <w:t xml:space="preserve">En el </w:t>
      </w:r>
      <w:r w:rsidRPr="00763214">
        <w:rPr>
          <w:b/>
          <w:u w:val="single"/>
        </w:rPr>
        <w:t>Aeropuerto de Madrid-Cuatro Vientos</w:t>
      </w:r>
    </w:p>
    <w:p w:rsidR="00863E64" w:rsidRPr="00763214" w:rsidRDefault="00863E64" w:rsidP="00863E64">
      <w:pPr>
        <w:numPr>
          <w:ilvl w:val="2"/>
          <w:numId w:val="33"/>
        </w:numPr>
        <w:contextualSpacing/>
      </w:pPr>
      <w:r w:rsidRPr="00763214">
        <w:t xml:space="preserve">La </w:t>
      </w:r>
      <w:r w:rsidRPr="00763214">
        <w:rPr>
          <w:b/>
        </w:rPr>
        <w:t>inversión prevista</w:t>
      </w:r>
      <w:r w:rsidRPr="00763214">
        <w:t xml:space="preserve"> de </w:t>
      </w:r>
      <w:r w:rsidRPr="00763214">
        <w:rPr>
          <w:b/>
        </w:rPr>
        <w:t>Aena S.M.E.</w:t>
      </w:r>
      <w:r w:rsidRPr="00763214">
        <w:t xml:space="preserve"> para el aeropuerto de Madrid-Cuatro Vientos es de   </w:t>
      </w:r>
      <w:r w:rsidRPr="00763214">
        <w:rPr>
          <w:b/>
        </w:rPr>
        <w:t>0,3 M€</w:t>
      </w:r>
      <w:r w:rsidRPr="00763214">
        <w:t>, destinada a Actuaciones de apoyo y mantenimiento necesarias para la conservación y mejora de las infraestructuras actuales.</w:t>
      </w:r>
    </w:p>
    <w:p w:rsidR="00863E64" w:rsidRDefault="00863E64" w:rsidP="00CF08F8">
      <w:pPr>
        <w:rPr>
          <w:lang w:eastAsia="es-ES"/>
        </w:rPr>
      </w:pPr>
    </w:p>
    <w:p w:rsidR="00763214" w:rsidRDefault="00672A5D" w:rsidP="00763214">
      <w:pPr>
        <w:pStyle w:val="Prrafodelista"/>
        <w:numPr>
          <w:ilvl w:val="0"/>
          <w:numId w:val="28"/>
        </w:numPr>
        <w:spacing w:after="120"/>
        <w:rPr>
          <w:lang w:eastAsia="es-ES"/>
        </w:rPr>
      </w:pPr>
      <w:r>
        <w:rPr>
          <w:lang w:eastAsia="es-ES"/>
        </w:rPr>
        <w:t xml:space="preserve">Por su parte, la inversión en Navegación Aérea de </w:t>
      </w:r>
      <w:r w:rsidRPr="00811AA5">
        <w:rPr>
          <w:b/>
          <w:u w:val="single"/>
          <w:lang w:eastAsia="es-ES"/>
        </w:rPr>
        <w:t>ENAIRE</w:t>
      </w:r>
      <w:r>
        <w:rPr>
          <w:lang w:eastAsia="es-ES"/>
        </w:rPr>
        <w:t xml:space="preserve"> en </w:t>
      </w:r>
      <w:r w:rsidR="005A01FB">
        <w:rPr>
          <w:lang w:eastAsia="es-ES"/>
        </w:rPr>
        <w:t>Madrid</w:t>
      </w:r>
      <w:r>
        <w:rPr>
          <w:lang w:eastAsia="es-ES"/>
        </w:rPr>
        <w:t xml:space="preserve"> asciende a </w:t>
      </w:r>
      <w:r w:rsidR="00763214">
        <w:rPr>
          <w:b/>
          <w:lang w:eastAsia="es-ES"/>
        </w:rPr>
        <w:t>44,56</w:t>
      </w:r>
      <w:r>
        <w:rPr>
          <w:b/>
          <w:lang w:eastAsia="es-ES"/>
        </w:rPr>
        <w:t xml:space="preserve"> M€</w:t>
      </w:r>
      <w:r w:rsidR="00763214">
        <w:rPr>
          <w:b/>
          <w:lang w:eastAsia="es-ES"/>
        </w:rPr>
        <w:t xml:space="preserve"> </w:t>
      </w:r>
      <w:r w:rsidR="00763214">
        <w:rPr>
          <w:lang w:eastAsia="es-ES"/>
        </w:rPr>
        <w:t>(un 7,60% superior a la de 2018) y</w:t>
      </w:r>
      <w:r>
        <w:rPr>
          <w:lang w:eastAsia="es-ES"/>
        </w:rPr>
        <w:t xml:space="preserve"> se destinará a los siguientes conceptos:</w:t>
      </w:r>
    </w:p>
    <w:p w:rsidR="00763214" w:rsidRPr="00763214" w:rsidRDefault="00763214" w:rsidP="00CF08F8">
      <w:pPr>
        <w:pStyle w:val="Prrafodelista"/>
        <w:numPr>
          <w:ilvl w:val="1"/>
          <w:numId w:val="28"/>
        </w:numPr>
        <w:spacing w:after="120" w:line="240" w:lineRule="auto"/>
        <w:rPr>
          <w:lang w:eastAsia="es-ES"/>
        </w:rPr>
      </w:pPr>
      <w:r w:rsidRPr="00763214">
        <w:rPr>
          <w:rFonts w:asciiTheme="minorHAnsi" w:hAnsiTheme="minorHAnsi" w:cstheme="minorHAnsi"/>
          <w:b/>
          <w:szCs w:val="24"/>
        </w:rPr>
        <w:t>Centro de Control Aéreo de Madrid: 16,32 M€</w:t>
      </w:r>
    </w:p>
    <w:p w:rsidR="00763214" w:rsidRPr="00763214" w:rsidRDefault="00763214" w:rsidP="00CF08F8">
      <w:pPr>
        <w:pStyle w:val="Prrafodelista"/>
        <w:numPr>
          <w:ilvl w:val="2"/>
          <w:numId w:val="28"/>
        </w:numPr>
        <w:spacing w:after="120" w:line="240" w:lineRule="auto"/>
        <w:rPr>
          <w:lang w:eastAsia="es-ES"/>
        </w:rPr>
      </w:pPr>
      <w:r w:rsidRPr="00763214">
        <w:rPr>
          <w:rFonts w:asciiTheme="minorHAnsi" w:hAnsiTheme="minorHAnsi" w:cstheme="minorHAnsi"/>
          <w:szCs w:val="24"/>
        </w:rPr>
        <w:t>Operación y gestión del centro de control aéreo. (3,45 M€)</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Adaptación de espacios EGNOS V3</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Adaptación del sistema de supervisión eléctrico</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Suministro en estado operativo para la reubicación del equipamiento de posición de control en el Centro de Control de Madrid.</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Sistema de comunicaciones tierra/tierra de fibra óptica entre el aeropuerto de Madrid-Barajas y el Centro de Control de Madrid.</w:t>
      </w:r>
    </w:p>
    <w:p w:rsidR="00763214" w:rsidRPr="00763214" w:rsidRDefault="00763214" w:rsidP="00CF08F8">
      <w:pPr>
        <w:pStyle w:val="Prrafodelista"/>
        <w:numPr>
          <w:ilvl w:val="2"/>
          <w:numId w:val="28"/>
        </w:numPr>
        <w:spacing w:after="120" w:line="240" w:lineRule="auto"/>
        <w:rPr>
          <w:rFonts w:asciiTheme="minorHAnsi" w:hAnsiTheme="minorHAnsi" w:cstheme="minorHAnsi"/>
          <w:szCs w:val="24"/>
        </w:rPr>
      </w:pPr>
      <w:r w:rsidRPr="00763214">
        <w:rPr>
          <w:rFonts w:asciiTheme="minorHAnsi" w:hAnsiTheme="minorHAnsi" w:cstheme="minorHAnsi"/>
          <w:szCs w:val="24"/>
        </w:rPr>
        <w:t>Desarrollo y mejora del sistema de navegación aérea. (4,05 M€)</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lastRenderedPageBreak/>
        <w:t>Nuevas funcionalidades del sistema de gestión de tránsito aéreo.</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Sustitución de los servidores del Sistema automatizado de control de tránsito aéreo (SACTA).</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Desarrollo e implantación de mejoras funcionales relacionadas con el sistema de control de tráfico en torres de control</w:t>
      </w:r>
    </w:p>
    <w:p w:rsidR="00763214" w:rsidRPr="00763214" w:rsidRDefault="00763214" w:rsidP="00CF08F8">
      <w:pPr>
        <w:pStyle w:val="Prrafodelista"/>
        <w:numPr>
          <w:ilvl w:val="2"/>
          <w:numId w:val="28"/>
        </w:numPr>
        <w:spacing w:after="120" w:line="240" w:lineRule="auto"/>
        <w:rPr>
          <w:rFonts w:asciiTheme="minorHAnsi" w:hAnsiTheme="minorHAnsi" w:cstheme="minorHAnsi"/>
          <w:szCs w:val="24"/>
        </w:rPr>
      </w:pPr>
      <w:r w:rsidRPr="00763214">
        <w:rPr>
          <w:rFonts w:asciiTheme="minorHAnsi" w:hAnsiTheme="minorHAnsi" w:cstheme="minorHAnsi"/>
          <w:szCs w:val="24"/>
        </w:rPr>
        <w:t>Evolución del sistema automático de control de tráfico aéreo (SACTA). (2,61 M€)</w:t>
      </w:r>
    </w:p>
    <w:p w:rsidR="00763214" w:rsidRPr="00763214" w:rsidRDefault="00763214" w:rsidP="00CF08F8">
      <w:pPr>
        <w:pStyle w:val="Prrafodelista"/>
        <w:numPr>
          <w:ilvl w:val="2"/>
          <w:numId w:val="28"/>
        </w:numPr>
        <w:spacing w:after="120" w:line="240" w:lineRule="auto"/>
        <w:rPr>
          <w:rFonts w:asciiTheme="minorHAnsi" w:hAnsiTheme="minorHAnsi" w:cstheme="minorHAnsi"/>
          <w:szCs w:val="24"/>
        </w:rPr>
      </w:pPr>
      <w:r w:rsidRPr="00763214">
        <w:rPr>
          <w:rFonts w:asciiTheme="minorHAnsi" w:hAnsiTheme="minorHAnsi" w:cstheme="minorHAnsi"/>
          <w:szCs w:val="24"/>
        </w:rPr>
        <w:t>Mantenimiento y equipamiento de los sistemas de navegación aérea (4,09 M€)</w:t>
      </w:r>
    </w:p>
    <w:p w:rsidR="00763214" w:rsidRPr="00CF08F8" w:rsidRDefault="00763214" w:rsidP="00CF08F8">
      <w:pPr>
        <w:pStyle w:val="Prrafodelista"/>
        <w:numPr>
          <w:ilvl w:val="2"/>
          <w:numId w:val="28"/>
        </w:numPr>
        <w:spacing w:after="120" w:line="240" w:lineRule="auto"/>
        <w:rPr>
          <w:rFonts w:asciiTheme="minorHAnsi" w:hAnsiTheme="minorHAnsi" w:cstheme="minorHAnsi"/>
          <w:szCs w:val="24"/>
        </w:rPr>
      </w:pPr>
      <w:r w:rsidRPr="00763214">
        <w:rPr>
          <w:rFonts w:asciiTheme="minorHAnsi" w:hAnsiTheme="minorHAnsi" w:cstheme="minorHAnsi"/>
          <w:szCs w:val="24"/>
        </w:rPr>
        <w:t>Desarrollo, operación y equipamiento de los sistemas de navegación aérea en aeropuertos (2,12 M€)</w:t>
      </w:r>
    </w:p>
    <w:p w:rsidR="00CF08F8" w:rsidRDefault="00763214" w:rsidP="00CF08F8">
      <w:pPr>
        <w:pStyle w:val="Prrafodelista"/>
        <w:numPr>
          <w:ilvl w:val="1"/>
          <w:numId w:val="28"/>
        </w:numPr>
        <w:spacing w:after="120" w:line="240" w:lineRule="auto"/>
        <w:rPr>
          <w:rFonts w:asciiTheme="minorHAnsi" w:hAnsiTheme="minorHAnsi" w:cstheme="minorHAnsi"/>
          <w:b/>
          <w:szCs w:val="24"/>
        </w:rPr>
      </w:pPr>
      <w:r w:rsidRPr="00763214">
        <w:rPr>
          <w:rFonts w:asciiTheme="minorHAnsi" w:hAnsiTheme="minorHAnsi" w:cstheme="minorHAnsi"/>
          <w:b/>
          <w:szCs w:val="24"/>
        </w:rPr>
        <w:t>Servicios centrales de Navegación Aérea: 28,24 M€</w:t>
      </w:r>
    </w:p>
    <w:p w:rsidR="00763214" w:rsidRPr="00CF08F8" w:rsidRDefault="00763214" w:rsidP="00CF08F8">
      <w:pPr>
        <w:pStyle w:val="Prrafodelista"/>
        <w:numPr>
          <w:ilvl w:val="2"/>
          <w:numId w:val="28"/>
        </w:numPr>
        <w:spacing w:after="120" w:line="240" w:lineRule="auto"/>
        <w:rPr>
          <w:rFonts w:asciiTheme="minorHAnsi" w:hAnsiTheme="minorHAnsi" w:cstheme="minorHAnsi"/>
          <w:b/>
          <w:szCs w:val="24"/>
        </w:rPr>
      </w:pPr>
      <w:r w:rsidRPr="00CF08F8">
        <w:rPr>
          <w:rFonts w:asciiTheme="minorHAnsi" w:hAnsiTheme="minorHAnsi" w:cstheme="minorHAnsi"/>
          <w:szCs w:val="24"/>
        </w:rPr>
        <w:t>Desarrollo y mejora del sistema de navegación aérea (13,19 M€)</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Nuevas funcionalidades del sistema de gestión de tránsito aéreo.</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Sistema central de mensajería aeronáutica</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Renovación de equipos y licencias tecnológicas</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Actividades de consultoría técnica de innovación y desarrollo</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Edificio de experimentación y desarrollo</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Gestión de la Tecnología de la Información y Comunicación (TIC)</w:t>
      </w:r>
    </w:p>
    <w:p w:rsidR="00763214" w:rsidRPr="00763214" w:rsidRDefault="00763214" w:rsidP="00CF08F8">
      <w:pPr>
        <w:pStyle w:val="Prrafodelista"/>
        <w:numPr>
          <w:ilvl w:val="2"/>
          <w:numId w:val="28"/>
        </w:numPr>
        <w:spacing w:after="120" w:line="240" w:lineRule="auto"/>
        <w:rPr>
          <w:rFonts w:asciiTheme="minorHAnsi" w:hAnsiTheme="minorHAnsi" w:cstheme="minorHAnsi"/>
          <w:szCs w:val="24"/>
        </w:rPr>
      </w:pPr>
      <w:r w:rsidRPr="00763214">
        <w:rPr>
          <w:rFonts w:asciiTheme="minorHAnsi" w:hAnsiTheme="minorHAnsi" w:cstheme="minorHAnsi"/>
          <w:szCs w:val="24"/>
        </w:rPr>
        <w:t>Operación y gestión de los sistemas centrales de navegación aérea. Servicios Centrales. (8,34 M€)</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bCs/>
          <w:sz w:val="24"/>
          <w:szCs w:val="24"/>
        </w:rPr>
        <w:t>Mejora de los sistemas de seguridad, calidad y medioambiente</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Evolución de estructura, organización y utilización espacio aéreo.</w:t>
      </w:r>
    </w:p>
    <w:p w:rsidR="00763214" w:rsidRPr="00763214" w:rsidRDefault="00763214" w:rsidP="00CF08F8">
      <w:pPr>
        <w:pStyle w:val="Encabezado"/>
        <w:numPr>
          <w:ilvl w:val="1"/>
          <w:numId w:val="36"/>
        </w:numPr>
        <w:spacing w:before="120" w:after="120"/>
        <w:ind w:left="1788"/>
        <w:contextualSpacing/>
        <w:rPr>
          <w:rFonts w:asciiTheme="minorHAnsi" w:hAnsiTheme="minorHAnsi" w:cstheme="minorHAnsi"/>
          <w:sz w:val="24"/>
          <w:szCs w:val="24"/>
        </w:rPr>
      </w:pPr>
      <w:r w:rsidRPr="00763214">
        <w:rPr>
          <w:rFonts w:asciiTheme="minorHAnsi" w:hAnsiTheme="minorHAnsi" w:cstheme="minorHAnsi"/>
          <w:sz w:val="24"/>
          <w:szCs w:val="24"/>
        </w:rPr>
        <w:t>Análisis y optimización de escenarios operativos</w:t>
      </w:r>
    </w:p>
    <w:p w:rsidR="00763214" w:rsidRPr="00763214" w:rsidRDefault="00763214" w:rsidP="00CF08F8">
      <w:pPr>
        <w:pStyle w:val="Prrafodelista"/>
        <w:numPr>
          <w:ilvl w:val="2"/>
          <w:numId w:val="28"/>
        </w:numPr>
        <w:spacing w:after="120" w:line="240" w:lineRule="auto"/>
        <w:rPr>
          <w:rFonts w:asciiTheme="minorHAnsi" w:hAnsiTheme="minorHAnsi" w:cstheme="minorHAnsi"/>
          <w:szCs w:val="24"/>
        </w:rPr>
      </w:pPr>
      <w:r w:rsidRPr="00763214">
        <w:rPr>
          <w:rFonts w:asciiTheme="minorHAnsi" w:hAnsiTheme="minorHAnsi" w:cstheme="minorHAnsi"/>
          <w:szCs w:val="24"/>
        </w:rPr>
        <w:t>Desarrollo, mantenimiento y equipamiento de los sistemas de navegación aérea (5,32 M€)</w:t>
      </w:r>
    </w:p>
    <w:p w:rsidR="00763214" w:rsidRPr="00763214" w:rsidRDefault="00763214" w:rsidP="00CF08F8">
      <w:pPr>
        <w:pStyle w:val="Prrafodelista"/>
        <w:numPr>
          <w:ilvl w:val="2"/>
          <w:numId w:val="28"/>
        </w:numPr>
        <w:spacing w:after="120" w:line="240" w:lineRule="auto"/>
        <w:rPr>
          <w:rFonts w:asciiTheme="minorHAnsi" w:hAnsiTheme="minorHAnsi" w:cstheme="minorHAnsi"/>
          <w:szCs w:val="24"/>
        </w:rPr>
      </w:pPr>
      <w:r w:rsidRPr="00763214">
        <w:rPr>
          <w:rFonts w:asciiTheme="minorHAnsi" w:hAnsiTheme="minorHAnsi" w:cstheme="minorHAnsi"/>
          <w:szCs w:val="24"/>
        </w:rPr>
        <w:lastRenderedPageBreak/>
        <w:t xml:space="preserve">Proyecto de innovación ENAIRE-CRIDA (1,39 M€).  </w:t>
      </w:r>
    </w:p>
    <w:p w:rsidR="00CF08F8" w:rsidRPr="00763214" w:rsidRDefault="00CF08F8" w:rsidP="00CF08F8">
      <w:pPr>
        <w:pStyle w:val="Encabezado"/>
        <w:spacing w:before="120" w:after="120"/>
        <w:rPr>
          <w:rFonts w:asciiTheme="minorHAnsi" w:hAnsiTheme="minorHAnsi" w:cstheme="minorHAnsi"/>
          <w:sz w:val="24"/>
          <w:szCs w:val="24"/>
        </w:rPr>
      </w:pPr>
    </w:p>
    <w:p w:rsidR="00AF4BA9" w:rsidRDefault="00851317" w:rsidP="00851317">
      <w:pPr>
        <w:pStyle w:val="Ttulo3"/>
        <w:numPr>
          <w:ilvl w:val="1"/>
          <w:numId w:val="27"/>
        </w:numPr>
      </w:pPr>
      <w:r>
        <w:t>Vivienda y Arquitectura</w:t>
      </w:r>
    </w:p>
    <w:p w:rsidR="00AF4BA9" w:rsidRPr="00ED662C" w:rsidRDefault="00AF4BA9" w:rsidP="00AF4BA9">
      <w:pPr>
        <w:pStyle w:val="Ttulo3"/>
        <w:numPr>
          <w:ilvl w:val="2"/>
          <w:numId w:val="27"/>
        </w:numPr>
      </w:pPr>
      <w:r w:rsidRPr="00B811C8">
        <w:t>Política de vivienda.</w:t>
      </w:r>
    </w:p>
    <w:p w:rsidR="00ED662C" w:rsidRPr="002C61CF" w:rsidRDefault="00ED662C" w:rsidP="00ED662C">
      <w:pPr>
        <w:autoSpaceDE w:val="0"/>
        <w:autoSpaceDN w:val="0"/>
        <w:spacing w:after="120"/>
      </w:pPr>
      <w:r w:rsidRPr="002C61CF">
        <w:rPr>
          <w:color w:val="000000"/>
        </w:rPr>
        <w:t xml:space="preserve">El </w:t>
      </w:r>
      <w:r w:rsidRPr="002C61CF">
        <w:rPr>
          <w:b/>
          <w:color w:val="000000"/>
        </w:rPr>
        <w:t>Plan Estatal de Vivienda 2018-2021</w:t>
      </w:r>
      <w:r w:rsidRPr="002C61CF">
        <w:rPr>
          <w:color w:val="000000"/>
        </w:rPr>
        <w:t xml:space="preserve">, aprobado por Real Decreto 106/2018, de 9 de marzo, cuenta con una </w:t>
      </w:r>
      <w:r w:rsidRPr="002C61CF">
        <w:rPr>
          <w:b/>
          <w:color w:val="000000"/>
        </w:rPr>
        <w:t>dotación estatal de 1.443 millones de euros</w:t>
      </w:r>
      <w:r w:rsidRPr="002C61CF">
        <w:rPr>
          <w:color w:val="000000"/>
        </w:rPr>
        <w:t xml:space="preserve">. Este importe arroja un incremento del 62,46% con respecto a la dotación presupuestaria de los </w:t>
      </w:r>
      <w:r w:rsidRPr="002C61CF">
        <w:t>ejercicios correspondientes al plan 2013- 2016 (888 millones de euros). El Plan Estatal de Vivienda</w:t>
      </w:r>
      <w:r>
        <w:t xml:space="preserve"> 2018-2021</w:t>
      </w:r>
      <w:r w:rsidRPr="002C61CF">
        <w:t xml:space="preserve"> tiene dos grandes objetivos: contribuir al incremento del parque de viviendas en alquiler y fomentar la rehabilitación y regeneración urbana y rural. </w:t>
      </w:r>
    </w:p>
    <w:p w:rsidR="00ED662C" w:rsidRPr="002C61CF" w:rsidRDefault="00ED662C" w:rsidP="00ED662C">
      <w:pPr>
        <w:autoSpaceDE w:val="0"/>
        <w:autoSpaceDN w:val="0"/>
        <w:spacing w:after="120"/>
      </w:pPr>
      <w:r w:rsidRPr="002C61CF">
        <w:t>Para la consecución de sus objetivos, el Plan Estatal 2018-2021 se estructura en los siguientes programas:</w:t>
      </w:r>
    </w:p>
    <w:p w:rsidR="00ED662C" w:rsidRPr="002C61CF" w:rsidRDefault="00ED662C" w:rsidP="00ED662C">
      <w:pPr>
        <w:pStyle w:val="Prrafodelista"/>
        <w:numPr>
          <w:ilvl w:val="0"/>
          <w:numId w:val="29"/>
        </w:numPr>
        <w:autoSpaceDE w:val="0"/>
        <w:autoSpaceDN w:val="0"/>
        <w:spacing w:after="120"/>
      </w:pPr>
      <w:r w:rsidRPr="002C61CF">
        <w:t>Programa de subsidiación de préstamos convenidos.</w:t>
      </w:r>
    </w:p>
    <w:p w:rsidR="00ED662C" w:rsidRPr="002C61CF" w:rsidRDefault="00ED662C" w:rsidP="00ED662C">
      <w:pPr>
        <w:pStyle w:val="Prrafodelista"/>
        <w:numPr>
          <w:ilvl w:val="0"/>
          <w:numId w:val="29"/>
        </w:numPr>
        <w:autoSpaceDE w:val="0"/>
        <w:autoSpaceDN w:val="0"/>
        <w:spacing w:after="120"/>
      </w:pPr>
      <w:r w:rsidRPr="002C61CF">
        <w:t>Programa de ayuda al alquiler de vivienda.</w:t>
      </w:r>
    </w:p>
    <w:p w:rsidR="00ED662C" w:rsidRPr="002C61CF" w:rsidRDefault="00ED662C" w:rsidP="00ED662C">
      <w:pPr>
        <w:pStyle w:val="Prrafodelista"/>
        <w:numPr>
          <w:ilvl w:val="0"/>
          <w:numId w:val="29"/>
        </w:numPr>
        <w:autoSpaceDE w:val="0"/>
        <w:autoSpaceDN w:val="0"/>
        <w:spacing w:after="120"/>
      </w:pPr>
      <w:r w:rsidRPr="002C61CF">
        <w:t>Programa de ayuda a las personas en situación de desahucio o lanzamiento de su vivienda habitual.</w:t>
      </w:r>
    </w:p>
    <w:p w:rsidR="00ED662C" w:rsidRPr="002C61CF" w:rsidRDefault="00ED662C" w:rsidP="00ED662C">
      <w:pPr>
        <w:pStyle w:val="Prrafodelista"/>
        <w:numPr>
          <w:ilvl w:val="0"/>
          <w:numId w:val="29"/>
        </w:numPr>
        <w:autoSpaceDE w:val="0"/>
        <w:autoSpaceDN w:val="0"/>
        <w:spacing w:after="120"/>
      </w:pPr>
      <w:r w:rsidRPr="002C61CF">
        <w:t>Programa de fomento del parque de vivienda en alquiler.</w:t>
      </w:r>
    </w:p>
    <w:p w:rsidR="00ED662C" w:rsidRPr="002C61CF" w:rsidRDefault="00ED662C" w:rsidP="00ED662C">
      <w:pPr>
        <w:pStyle w:val="Prrafodelista"/>
        <w:numPr>
          <w:ilvl w:val="0"/>
          <w:numId w:val="29"/>
        </w:numPr>
        <w:autoSpaceDE w:val="0"/>
        <w:autoSpaceDN w:val="0"/>
        <w:spacing w:after="120"/>
      </w:pPr>
      <w:r w:rsidRPr="002C61CF">
        <w:t>Programa de fomento de mejora de la eficiencia energética y sostenibilidad en viviendas.</w:t>
      </w:r>
    </w:p>
    <w:p w:rsidR="00ED662C" w:rsidRPr="002C61CF" w:rsidRDefault="00ED662C" w:rsidP="00ED662C">
      <w:pPr>
        <w:pStyle w:val="Prrafodelista"/>
        <w:numPr>
          <w:ilvl w:val="0"/>
          <w:numId w:val="29"/>
        </w:numPr>
        <w:autoSpaceDE w:val="0"/>
        <w:autoSpaceDN w:val="0"/>
        <w:spacing w:after="120"/>
      </w:pPr>
      <w:r w:rsidRPr="002C61CF">
        <w:t>Programa de fomento de la conservación, de la mejora de la seguridad de utilización y de la accesibilidad en viviendas.</w:t>
      </w:r>
    </w:p>
    <w:p w:rsidR="00ED662C" w:rsidRPr="002C61CF" w:rsidRDefault="00ED662C" w:rsidP="00ED662C">
      <w:pPr>
        <w:pStyle w:val="Prrafodelista"/>
        <w:numPr>
          <w:ilvl w:val="0"/>
          <w:numId w:val="29"/>
        </w:numPr>
        <w:autoSpaceDE w:val="0"/>
        <w:autoSpaceDN w:val="0"/>
        <w:spacing w:after="120"/>
      </w:pPr>
      <w:r w:rsidRPr="002C61CF">
        <w:t>Programa de fomento de la regeneración y renovación urbana y rural.</w:t>
      </w:r>
    </w:p>
    <w:p w:rsidR="00ED662C" w:rsidRPr="002C61CF" w:rsidRDefault="00ED662C" w:rsidP="00ED662C">
      <w:pPr>
        <w:pStyle w:val="Prrafodelista"/>
        <w:numPr>
          <w:ilvl w:val="0"/>
          <w:numId w:val="29"/>
        </w:numPr>
        <w:autoSpaceDE w:val="0"/>
        <w:autoSpaceDN w:val="0"/>
        <w:spacing w:after="120"/>
      </w:pPr>
      <w:r w:rsidRPr="002C61CF">
        <w:t>Programa de ayuda a los jóvenes.</w:t>
      </w:r>
    </w:p>
    <w:p w:rsidR="00ED662C" w:rsidRPr="002C61CF" w:rsidRDefault="00ED662C" w:rsidP="00ED662C">
      <w:pPr>
        <w:pStyle w:val="Prrafodelista"/>
        <w:numPr>
          <w:ilvl w:val="0"/>
          <w:numId w:val="29"/>
        </w:numPr>
        <w:autoSpaceDE w:val="0"/>
        <w:autoSpaceDN w:val="0"/>
        <w:spacing w:after="120"/>
      </w:pPr>
      <w:r w:rsidRPr="002C61CF">
        <w:t>Programa de fomento de viviendas para personas mayores y personas con discapacidad.</w:t>
      </w:r>
    </w:p>
    <w:p w:rsidR="00184E69" w:rsidRDefault="00184E69" w:rsidP="00184E69">
      <w:pPr>
        <w:autoSpaceDE w:val="0"/>
        <w:autoSpaceDN w:val="0"/>
        <w:spacing w:after="120"/>
      </w:pPr>
      <w:r>
        <w:rPr>
          <w:rFonts w:eastAsia="Calibri" w:cs="Calibri"/>
        </w:rPr>
        <w:lastRenderedPageBreak/>
        <w:t xml:space="preserve">La </w:t>
      </w:r>
      <w:r>
        <w:rPr>
          <w:rFonts w:eastAsia="Calibri" w:cs="Calibri"/>
          <w:b/>
        </w:rPr>
        <w:t>distribución comprometida por anualidades</w:t>
      </w:r>
      <w:r>
        <w:rPr>
          <w:rFonts w:eastAsia="Calibri" w:cs="Calibri"/>
        </w:rPr>
        <w:t xml:space="preserve"> en el Plan Estatal de Vivienda 2018-2021, es la siguiente: 332,7 M€ en el año 2018; </w:t>
      </w:r>
      <w:r>
        <w:rPr>
          <w:rFonts w:eastAsia="Calibri" w:cs="Calibri"/>
          <w:b/>
        </w:rPr>
        <w:t>340 M€ en 2019</w:t>
      </w:r>
      <w:r>
        <w:rPr>
          <w:rFonts w:eastAsia="Calibri" w:cs="Calibri"/>
        </w:rPr>
        <w:t>; 346,6 M€ en 2020 y 354,2 M€ en 2021.</w:t>
      </w:r>
    </w:p>
    <w:p w:rsidR="00ED662C" w:rsidRPr="002C61CF" w:rsidRDefault="007A03FD" w:rsidP="00ED662C">
      <w:pPr>
        <w:spacing w:after="120"/>
      </w:pPr>
      <w:r>
        <w:t>No obstante, en</w:t>
      </w:r>
      <w:r w:rsidR="00ED662C" w:rsidRPr="001373B4">
        <w:t xml:space="preserve"> el </w:t>
      </w:r>
      <w:r w:rsidR="00ED662C" w:rsidRPr="001373B4">
        <w:rPr>
          <w:b/>
        </w:rPr>
        <w:t>Proyecto de Presupuestos Generales del Estado de 2019</w:t>
      </w:r>
      <w:r w:rsidR="00ED662C" w:rsidRPr="001373B4">
        <w:t xml:space="preserve"> está contemplado un incremento de </w:t>
      </w:r>
      <w:r w:rsidR="00ED662C" w:rsidRPr="001373B4">
        <w:rPr>
          <w:b/>
        </w:rPr>
        <w:t>70M€ para el Plan Estatal de Vivienda 2018-2021 sobre la dotación inicial</w:t>
      </w:r>
      <w:r w:rsidR="00ED662C" w:rsidRPr="001373B4">
        <w:t>.</w:t>
      </w:r>
    </w:p>
    <w:p w:rsidR="00ED662C" w:rsidRPr="002C61CF" w:rsidRDefault="00ED662C" w:rsidP="00ED662C">
      <w:pPr>
        <w:autoSpaceDE w:val="0"/>
        <w:autoSpaceDN w:val="0"/>
        <w:spacing w:after="120"/>
      </w:pPr>
      <w:r>
        <w:t>En la</w:t>
      </w:r>
      <w:r w:rsidRPr="002C61CF">
        <w:t xml:space="preserve"> </w:t>
      </w:r>
      <w:r w:rsidRPr="002C61CF">
        <w:rPr>
          <w:b/>
        </w:rPr>
        <w:t>Conferencia Sectorial de Vivienda, Urbanismo y Suelo de 15 de ma</w:t>
      </w:r>
      <w:r>
        <w:rPr>
          <w:b/>
        </w:rPr>
        <w:t>rzo de 2018</w:t>
      </w:r>
      <w:r w:rsidRPr="002C61CF">
        <w:t xml:space="preserve">, el Ministerio de </w:t>
      </w:r>
      <w:r w:rsidRPr="002C61CF">
        <w:rPr>
          <w:color w:val="000000"/>
        </w:rPr>
        <w:t xml:space="preserve">Fomento y las </w:t>
      </w:r>
      <w:r w:rsidRPr="002C61CF">
        <w:t>Comunidades Autónomas acordaron el reparto de los fondos estatales.</w:t>
      </w:r>
    </w:p>
    <w:p w:rsidR="00ED662C" w:rsidRPr="0000767D" w:rsidRDefault="00ED662C" w:rsidP="00ED662C">
      <w:pPr>
        <w:spacing w:after="120"/>
      </w:pPr>
      <w:r w:rsidRPr="002C61CF">
        <w:t xml:space="preserve">Para poder acceder a las cuantías máximas de financiación estatal, </w:t>
      </w:r>
      <w:r w:rsidRPr="0000767D">
        <w:t>cada comunidad autónoma tendrá que aportar un 30% adicional a la financiación que le corresponde en este plan.</w:t>
      </w:r>
    </w:p>
    <w:p w:rsidR="00ED662C" w:rsidRPr="002C61CF" w:rsidRDefault="00ED662C" w:rsidP="00ED662C">
      <w:pPr>
        <w:autoSpaceDE w:val="0"/>
        <w:autoSpaceDN w:val="0"/>
        <w:spacing w:after="120"/>
      </w:pPr>
      <w:r w:rsidRPr="002C61CF">
        <w:t xml:space="preserve">La gestión de las ayudas del plan corresponderá, como en los anteriores, a las comunidades autónomas y a las ciudades de Ceuta y Melilla. La </w:t>
      </w:r>
      <w:r w:rsidRPr="002C61CF">
        <w:rPr>
          <w:b/>
        </w:rPr>
        <w:t>colaboración</w:t>
      </w:r>
      <w:r w:rsidRPr="002C61CF">
        <w:t xml:space="preserve"> entre ellas y el Ministerio de Fomento </w:t>
      </w:r>
      <w:r w:rsidRPr="002C61CF">
        <w:rPr>
          <w:b/>
        </w:rPr>
        <w:t>se</w:t>
      </w:r>
      <w:r>
        <w:rPr>
          <w:b/>
        </w:rPr>
        <w:t xml:space="preserve"> ha instrumentado</w:t>
      </w:r>
      <w:r w:rsidRPr="002C61CF">
        <w:rPr>
          <w:b/>
        </w:rPr>
        <w:t xml:space="preserve"> mediante los convenios correspondientes, en los que se </w:t>
      </w:r>
      <w:r>
        <w:rPr>
          <w:b/>
        </w:rPr>
        <w:t>ha establecido</w:t>
      </w:r>
      <w:r w:rsidRPr="002C61CF">
        <w:rPr>
          <w:b/>
        </w:rPr>
        <w:t xml:space="preserve"> la previsión de financiación a aportar en cada anualidad por la Administración General del Estado</w:t>
      </w:r>
      <w:r w:rsidRPr="002C61CF">
        <w:t>, así como los compromisos</w:t>
      </w:r>
      <w:r w:rsidRPr="002C61CF">
        <w:rPr>
          <w:color w:val="1F497D"/>
        </w:rPr>
        <w:t xml:space="preserve"> </w:t>
      </w:r>
      <w:r w:rsidRPr="002C61CF">
        <w:t>de cofinanciación de las ac</w:t>
      </w:r>
      <w:r>
        <w:t>tuaciones que, en su caso, asume</w:t>
      </w:r>
      <w:r w:rsidRPr="002C61CF">
        <w:t xml:space="preserve"> la comunidad autónoma o </w:t>
      </w:r>
      <w:r>
        <w:t xml:space="preserve">las </w:t>
      </w:r>
      <w:r w:rsidRPr="002C61CF">
        <w:t>ciudades de Ceuta y de Melilla.</w:t>
      </w:r>
    </w:p>
    <w:p w:rsidR="00ED662C" w:rsidRPr="000813ED" w:rsidRDefault="00ED662C" w:rsidP="00ED662C">
      <w:pPr>
        <w:autoSpaceDE w:val="0"/>
        <w:autoSpaceDN w:val="0"/>
        <w:spacing w:after="120"/>
        <w:rPr>
          <w:color w:val="000000"/>
        </w:rPr>
      </w:pPr>
      <w:r w:rsidRPr="001373B4">
        <w:rPr>
          <w:color w:val="000000"/>
        </w:rPr>
        <w:t xml:space="preserve">El día </w:t>
      </w:r>
      <w:r w:rsidRPr="001373B4">
        <w:rPr>
          <w:b/>
          <w:color w:val="000000"/>
        </w:rPr>
        <w:t>31 de julio de 2018 se suscribió el convenio entre el Ministerio de Fomento y  la Comunidad Autónoma de Cantabria</w:t>
      </w:r>
      <w:r w:rsidRPr="001373B4">
        <w:rPr>
          <w:color w:val="000000"/>
        </w:rPr>
        <w:t xml:space="preserve"> para la ejecución del Plan Estatal de Vivienda 2018-2021, conforme a lo establecido en el artículo 5.1 del Real Decreto 106/2018 de 9 de marzo por el que se regula el Plan Estatal de Vivienda 2018-2021, que fue publicado en el Boletín Oficial del Estado el 16 de agosto de 2018.</w:t>
      </w:r>
    </w:p>
    <w:p w:rsidR="00ED662C" w:rsidRPr="007D30A9" w:rsidRDefault="00ED662C" w:rsidP="00ED662C">
      <w:pPr>
        <w:autoSpaceDE w:val="0"/>
        <w:autoSpaceDN w:val="0"/>
        <w:spacing w:after="120"/>
        <w:rPr>
          <w:color w:val="000000"/>
        </w:rPr>
      </w:pPr>
      <w:r>
        <w:rPr>
          <w:b/>
          <w:color w:val="000000"/>
        </w:rPr>
        <w:lastRenderedPageBreak/>
        <w:t xml:space="preserve">Madrid </w:t>
      </w:r>
      <w:r w:rsidRPr="007D30A9">
        <w:rPr>
          <w:color w:val="000000"/>
        </w:rPr>
        <w:t xml:space="preserve">contará con una ayuda estatal máxima de </w:t>
      </w:r>
      <w:r>
        <w:rPr>
          <w:b/>
          <w:color w:val="000000"/>
        </w:rPr>
        <w:t>164,60M</w:t>
      </w:r>
      <w:r w:rsidRPr="007D30A9">
        <w:rPr>
          <w:b/>
          <w:color w:val="000000"/>
        </w:rPr>
        <w:t>€</w:t>
      </w:r>
      <w:r w:rsidRPr="007D30A9">
        <w:rPr>
          <w:color w:val="000000"/>
        </w:rPr>
        <w:t xml:space="preserve"> para subvenciones en el marco del Plan Estatal de Vivienda 2018-2021</w:t>
      </w:r>
      <w:r w:rsidRPr="000813ED">
        <w:t xml:space="preserve">, habiéndole correspondido en </w:t>
      </w:r>
      <w:r w:rsidRPr="000813ED">
        <w:rPr>
          <w:b/>
        </w:rPr>
        <w:t>el ejercicio 2018</w:t>
      </w:r>
      <w:r w:rsidRPr="000813ED">
        <w:t xml:space="preserve"> la cantidad de </w:t>
      </w:r>
      <w:r w:rsidRPr="000813ED">
        <w:rPr>
          <w:b/>
        </w:rPr>
        <w:t>42,95 millones de euros</w:t>
      </w:r>
      <w:r w:rsidRPr="000813ED">
        <w:t>.</w:t>
      </w:r>
    </w:p>
    <w:p w:rsidR="00ED662C" w:rsidRPr="007D30A9" w:rsidRDefault="00ED662C" w:rsidP="00ED662C">
      <w:pPr>
        <w:autoSpaceDE w:val="0"/>
        <w:autoSpaceDN w:val="0"/>
        <w:spacing w:after="120"/>
      </w:pPr>
      <w:r w:rsidRPr="007D30A9">
        <w:t xml:space="preserve">La </w:t>
      </w:r>
      <w:r w:rsidRPr="007D30A9">
        <w:rPr>
          <w:b/>
        </w:rPr>
        <w:t xml:space="preserve">distribución por anualidades de la ayuda estatal máxima </w:t>
      </w:r>
      <w:r w:rsidRPr="007D30A9">
        <w:t xml:space="preserve">a la Comunidad Autónoma de </w:t>
      </w:r>
      <w:r>
        <w:t>Madrid</w:t>
      </w:r>
      <w:r w:rsidRPr="007D30A9">
        <w:t xml:space="preserve"> será la siguiente: </w:t>
      </w:r>
    </w:p>
    <w:p w:rsidR="00ED662C" w:rsidRPr="007D30A9" w:rsidRDefault="00ED662C" w:rsidP="00ED662C">
      <w:pPr>
        <w:autoSpaceDE w:val="0"/>
        <w:autoSpaceDN w:val="0"/>
        <w:spacing w:after="120"/>
        <w:jc w:val="right"/>
      </w:pPr>
      <w:r w:rsidRPr="007D30A9">
        <w:t>(importe en millones de €)</w:t>
      </w:r>
    </w:p>
    <w:tbl>
      <w:tblPr>
        <w:tblStyle w:val="Tablaconcuadrcula"/>
        <w:tblW w:w="8500" w:type="dxa"/>
        <w:tblLook w:val="04A0" w:firstRow="1" w:lastRow="0" w:firstColumn="1" w:lastColumn="0" w:noHBand="0" w:noVBand="1"/>
      </w:tblPr>
      <w:tblGrid>
        <w:gridCol w:w="2263"/>
        <w:gridCol w:w="2127"/>
        <w:gridCol w:w="1984"/>
        <w:gridCol w:w="2126"/>
      </w:tblGrid>
      <w:tr w:rsidR="00ED662C" w:rsidRPr="007D30A9" w:rsidTr="00993089">
        <w:tc>
          <w:tcPr>
            <w:tcW w:w="2263" w:type="dxa"/>
            <w:shd w:val="clear" w:color="auto" w:fill="95B3D7" w:themeFill="accent1" w:themeFillTint="99"/>
          </w:tcPr>
          <w:p w:rsidR="00ED662C" w:rsidRPr="007D30A9" w:rsidRDefault="00ED662C" w:rsidP="00993089">
            <w:pPr>
              <w:autoSpaceDE w:val="0"/>
              <w:autoSpaceDN w:val="0"/>
              <w:spacing w:after="120"/>
              <w:jc w:val="center"/>
            </w:pPr>
            <w:r w:rsidRPr="007D30A9">
              <w:t>2019</w:t>
            </w:r>
          </w:p>
        </w:tc>
        <w:tc>
          <w:tcPr>
            <w:tcW w:w="2127" w:type="dxa"/>
            <w:shd w:val="clear" w:color="auto" w:fill="95B3D7" w:themeFill="accent1" w:themeFillTint="99"/>
          </w:tcPr>
          <w:p w:rsidR="00ED662C" w:rsidRPr="007D30A9" w:rsidRDefault="00ED662C" w:rsidP="00993089">
            <w:pPr>
              <w:autoSpaceDE w:val="0"/>
              <w:autoSpaceDN w:val="0"/>
              <w:spacing w:after="120"/>
              <w:jc w:val="center"/>
            </w:pPr>
            <w:r w:rsidRPr="007D30A9">
              <w:t>2020</w:t>
            </w:r>
          </w:p>
        </w:tc>
        <w:tc>
          <w:tcPr>
            <w:tcW w:w="1984" w:type="dxa"/>
            <w:shd w:val="clear" w:color="auto" w:fill="95B3D7" w:themeFill="accent1" w:themeFillTint="99"/>
          </w:tcPr>
          <w:p w:rsidR="00ED662C" w:rsidRPr="007D30A9" w:rsidRDefault="00ED662C" w:rsidP="00993089">
            <w:pPr>
              <w:autoSpaceDE w:val="0"/>
              <w:autoSpaceDN w:val="0"/>
              <w:spacing w:after="120"/>
              <w:jc w:val="center"/>
            </w:pPr>
            <w:r w:rsidRPr="007D30A9">
              <w:t>2021</w:t>
            </w:r>
          </w:p>
        </w:tc>
        <w:tc>
          <w:tcPr>
            <w:tcW w:w="2126" w:type="dxa"/>
            <w:shd w:val="clear" w:color="auto" w:fill="95B3D7" w:themeFill="accent1" w:themeFillTint="99"/>
          </w:tcPr>
          <w:p w:rsidR="00ED662C" w:rsidRPr="007D30A9" w:rsidRDefault="00ED662C" w:rsidP="00993089">
            <w:pPr>
              <w:autoSpaceDE w:val="0"/>
              <w:autoSpaceDN w:val="0"/>
              <w:spacing w:after="120"/>
              <w:jc w:val="center"/>
            </w:pPr>
            <w:r w:rsidRPr="007D30A9">
              <w:t>TOTAL</w:t>
            </w:r>
          </w:p>
        </w:tc>
      </w:tr>
      <w:tr w:rsidR="00ED662C" w:rsidRPr="00F87675" w:rsidTr="00993089">
        <w:tc>
          <w:tcPr>
            <w:tcW w:w="2263" w:type="dxa"/>
          </w:tcPr>
          <w:p w:rsidR="00ED662C" w:rsidRPr="007D30A9" w:rsidRDefault="00ED662C" w:rsidP="00993089">
            <w:pPr>
              <w:autoSpaceDE w:val="0"/>
              <w:autoSpaceDN w:val="0"/>
              <w:spacing w:after="120"/>
              <w:jc w:val="right"/>
            </w:pPr>
            <w:r>
              <w:t>39,73</w:t>
            </w:r>
          </w:p>
        </w:tc>
        <w:tc>
          <w:tcPr>
            <w:tcW w:w="2127" w:type="dxa"/>
          </w:tcPr>
          <w:p w:rsidR="00ED662C" w:rsidRPr="007D30A9" w:rsidRDefault="00ED662C" w:rsidP="00993089">
            <w:pPr>
              <w:autoSpaceDE w:val="0"/>
              <w:autoSpaceDN w:val="0"/>
              <w:spacing w:after="120"/>
              <w:jc w:val="right"/>
            </w:pPr>
            <w:r>
              <w:t>40,51</w:t>
            </w:r>
          </w:p>
        </w:tc>
        <w:tc>
          <w:tcPr>
            <w:tcW w:w="1984" w:type="dxa"/>
          </w:tcPr>
          <w:p w:rsidR="00ED662C" w:rsidRPr="007D30A9" w:rsidRDefault="00ED662C" w:rsidP="00993089">
            <w:pPr>
              <w:autoSpaceDE w:val="0"/>
              <w:autoSpaceDN w:val="0"/>
              <w:spacing w:after="120"/>
              <w:jc w:val="right"/>
            </w:pPr>
            <w:r>
              <w:t>41,40</w:t>
            </w:r>
          </w:p>
        </w:tc>
        <w:tc>
          <w:tcPr>
            <w:tcW w:w="2126" w:type="dxa"/>
          </w:tcPr>
          <w:p w:rsidR="00ED662C" w:rsidRPr="007D30A9" w:rsidRDefault="00ED662C" w:rsidP="00993089">
            <w:pPr>
              <w:autoSpaceDE w:val="0"/>
              <w:autoSpaceDN w:val="0"/>
              <w:spacing w:after="120"/>
              <w:jc w:val="right"/>
            </w:pPr>
            <w:r>
              <w:t>164,60</w:t>
            </w:r>
          </w:p>
        </w:tc>
      </w:tr>
    </w:tbl>
    <w:p w:rsidR="00ED662C" w:rsidRDefault="00ED662C" w:rsidP="00ED662C">
      <w:pPr>
        <w:autoSpaceDE w:val="0"/>
        <w:autoSpaceDN w:val="0"/>
        <w:spacing w:after="120"/>
        <w:rPr>
          <w:color w:val="1F497D"/>
        </w:rPr>
      </w:pPr>
    </w:p>
    <w:p w:rsidR="00AF4BA9" w:rsidRPr="00B811C8" w:rsidRDefault="00AF4BA9" w:rsidP="00AF4BA9">
      <w:pPr>
        <w:rPr>
          <w:lang w:eastAsia="es-ES"/>
        </w:rPr>
      </w:pPr>
    </w:p>
    <w:p w:rsidR="00AF4BA9" w:rsidRDefault="00AF4BA9" w:rsidP="00ED662C">
      <w:pPr>
        <w:pStyle w:val="Ttulo3"/>
        <w:numPr>
          <w:ilvl w:val="2"/>
          <w:numId w:val="27"/>
        </w:numPr>
      </w:pPr>
      <w:r w:rsidRPr="00BE4740">
        <w:t>Programa de Rehabilitación Arquitectónica</w:t>
      </w:r>
    </w:p>
    <w:p w:rsidR="00ED662C" w:rsidRDefault="00ED662C" w:rsidP="00ED662C">
      <w:pPr>
        <w:spacing w:after="0" w:line="240" w:lineRule="auto"/>
        <w:rPr>
          <w:rFonts w:cs="Arial"/>
          <w:szCs w:val="24"/>
          <w:lang w:eastAsia="es-ES"/>
        </w:rPr>
      </w:pPr>
      <w:r w:rsidRPr="00332183">
        <w:rPr>
          <w:rFonts w:cs="Arial"/>
          <w:szCs w:val="24"/>
          <w:lang w:eastAsia="es-ES"/>
        </w:rPr>
        <w:t xml:space="preserve">Se prevé una inversión del Ministerio de Fomento en esta Comunidad Autónoma durante el ejercicio </w:t>
      </w:r>
      <w:r>
        <w:rPr>
          <w:rFonts w:cs="Arial"/>
          <w:szCs w:val="24"/>
          <w:lang w:eastAsia="es-ES"/>
        </w:rPr>
        <w:t>2019</w:t>
      </w:r>
      <w:r w:rsidRPr="00332183">
        <w:rPr>
          <w:rFonts w:cs="Arial"/>
          <w:szCs w:val="24"/>
          <w:lang w:eastAsia="es-ES"/>
        </w:rPr>
        <w:t xml:space="preserve"> de </w:t>
      </w:r>
      <w:r>
        <w:rPr>
          <w:rFonts w:cs="Arial"/>
          <w:b/>
          <w:szCs w:val="24"/>
          <w:lang w:eastAsia="es-ES"/>
        </w:rPr>
        <w:t>5.073,71</w:t>
      </w:r>
      <w:r w:rsidRPr="00332183">
        <w:rPr>
          <w:rFonts w:cs="Arial"/>
          <w:b/>
          <w:szCs w:val="24"/>
          <w:lang w:eastAsia="es-ES"/>
        </w:rPr>
        <w:t xml:space="preserve"> miles de €</w:t>
      </w:r>
      <w:r w:rsidRPr="00332183">
        <w:rPr>
          <w:rFonts w:cs="Arial"/>
          <w:szCs w:val="24"/>
          <w:lang w:eastAsia="es-ES"/>
        </w:rPr>
        <w:t xml:space="preserve"> en las siguientes actuaciones:</w:t>
      </w:r>
    </w:p>
    <w:p w:rsidR="00ED662C" w:rsidRPr="00ED662C" w:rsidRDefault="00ED662C" w:rsidP="00ED662C">
      <w:pPr>
        <w:spacing w:after="0" w:line="240" w:lineRule="auto"/>
        <w:rPr>
          <w:rFonts w:cs="Arial"/>
          <w:szCs w:val="24"/>
          <w:lang w:eastAsia="es-ES"/>
        </w:rPr>
      </w:pPr>
    </w:p>
    <w:p w:rsidR="00ED662C" w:rsidRDefault="00ED662C" w:rsidP="00ED662C">
      <w:pPr>
        <w:pStyle w:val="Prrafodelista"/>
        <w:numPr>
          <w:ilvl w:val="0"/>
          <w:numId w:val="22"/>
        </w:numPr>
        <w:spacing w:line="240" w:lineRule="auto"/>
      </w:pPr>
      <w:r>
        <w:t xml:space="preserve">"Trabajos de mantenimiento en El Ateneo Científico, Literario y Artístico de Madrid. (Madrid)", cuyo coste total asciende a </w:t>
      </w:r>
      <w:r w:rsidRPr="0098608C">
        <w:rPr>
          <w:b/>
        </w:rPr>
        <w:t>2.</w:t>
      </w:r>
      <w:r>
        <w:rPr>
          <w:b/>
        </w:rPr>
        <w:t xml:space="preserve">392,79 </w:t>
      </w:r>
      <w:r w:rsidRPr="009F333C">
        <w:rPr>
          <w:rFonts w:cs="Arial"/>
          <w:b/>
          <w:szCs w:val="24"/>
          <w:lang w:eastAsia="es-ES"/>
        </w:rPr>
        <w:t>miles de €</w:t>
      </w:r>
      <w:r>
        <w:t xml:space="preserve"> de los que </w:t>
      </w:r>
      <w:r>
        <w:rPr>
          <w:b/>
        </w:rPr>
        <w:t>730,33</w:t>
      </w:r>
      <w:r w:rsidRPr="009F333C">
        <w:rPr>
          <w:b/>
        </w:rPr>
        <w:t xml:space="preserve"> miles de €</w:t>
      </w:r>
      <w:r>
        <w:t xml:space="preserve"> corresponden al ejercicio 2019.</w:t>
      </w:r>
    </w:p>
    <w:p w:rsidR="00ED662C" w:rsidRDefault="00ED662C" w:rsidP="00ED662C">
      <w:pPr>
        <w:pStyle w:val="Prrafodelista"/>
        <w:spacing w:line="240" w:lineRule="auto"/>
        <w:ind w:left="596"/>
      </w:pPr>
    </w:p>
    <w:p w:rsidR="00ED662C" w:rsidRDefault="00ED662C" w:rsidP="00ED662C">
      <w:pPr>
        <w:pStyle w:val="Prrafodelista"/>
        <w:numPr>
          <w:ilvl w:val="0"/>
          <w:numId w:val="22"/>
        </w:numPr>
        <w:spacing w:line="240" w:lineRule="auto"/>
      </w:pPr>
      <w:r>
        <w:t xml:space="preserve">"Teatro de la Sociedad Cervantina. Calle Atocha 87. Madrid", cuyo coste total asciende a </w:t>
      </w:r>
      <w:r w:rsidRPr="009F333C">
        <w:rPr>
          <w:b/>
        </w:rPr>
        <w:t>1.640,6</w:t>
      </w:r>
      <w:r>
        <w:rPr>
          <w:b/>
        </w:rPr>
        <w:t>1</w:t>
      </w:r>
      <w:r w:rsidRPr="009F333C">
        <w:rPr>
          <w:b/>
        </w:rPr>
        <w:t xml:space="preserve"> miles de €</w:t>
      </w:r>
      <w:r>
        <w:t xml:space="preserve"> de los que </w:t>
      </w:r>
      <w:r>
        <w:rPr>
          <w:b/>
        </w:rPr>
        <w:t>500,00</w:t>
      </w:r>
      <w:r w:rsidRPr="009F333C">
        <w:rPr>
          <w:b/>
        </w:rPr>
        <w:t xml:space="preserve"> miles de €</w:t>
      </w:r>
      <w:r>
        <w:t xml:space="preserve"> corresponden al ejercicio 2019.</w:t>
      </w:r>
    </w:p>
    <w:p w:rsidR="00ED662C" w:rsidRDefault="00ED662C" w:rsidP="00ED662C">
      <w:pPr>
        <w:pStyle w:val="Prrafodelista"/>
      </w:pPr>
    </w:p>
    <w:p w:rsidR="00ED662C" w:rsidRPr="001B10F6" w:rsidRDefault="00ED662C" w:rsidP="00ED662C">
      <w:pPr>
        <w:pStyle w:val="Prrafodelista"/>
        <w:numPr>
          <w:ilvl w:val="0"/>
          <w:numId w:val="22"/>
        </w:numPr>
        <w:spacing w:line="240" w:lineRule="auto"/>
      </w:pPr>
      <w:r w:rsidRPr="001B10F6">
        <w:t xml:space="preserve">"Rehabilitación sede Fundación Ortega y Gasset-Gregorio Marañón. Madrid", cuyo coste total asciende a </w:t>
      </w:r>
      <w:r w:rsidRPr="001B10F6">
        <w:rPr>
          <w:b/>
        </w:rPr>
        <w:t>2.112,00 miles de €</w:t>
      </w:r>
      <w:r w:rsidRPr="001B10F6">
        <w:t xml:space="preserve"> de los que </w:t>
      </w:r>
      <w:r w:rsidRPr="001B10F6">
        <w:rPr>
          <w:b/>
        </w:rPr>
        <w:t>1.846,09 miles de €</w:t>
      </w:r>
      <w:r w:rsidRPr="001B10F6">
        <w:t xml:space="preserve"> corresponden al ejercicio 2019.</w:t>
      </w:r>
    </w:p>
    <w:p w:rsidR="00ED662C" w:rsidRDefault="00ED662C" w:rsidP="00ED662C">
      <w:pPr>
        <w:pStyle w:val="Prrafodelista"/>
      </w:pPr>
    </w:p>
    <w:p w:rsidR="00ED662C" w:rsidRDefault="00ED662C" w:rsidP="00ED662C">
      <w:pPr>
        <w:pStyle w:val="Prrafodelista"/>
        <w:numPr>
          <w:ilvl w:val="0"/>
          <w:numId w:val="22"/>
        </w:numPr>
        <w:spacing w:line="240" w:lineRule="auto"/>
      </w:pPr>
      <w:r>
        <w:t xml:space="preserve">"Restauración de fachadas de la Iglesia de San Andrés. Madrid", cuyo coste total asciende a </w:t>
      </w:r>
      <w:r w:rsidRPr="0098608C">
        <w:rPr>
          <w:b/>
        </w:rPr>
        <w:t>2.378,32</w:t>
      </w:r>
      <w:r>
        <w:rPr>
          <w:b/>
        </w:rPr>
        <w:t xml:space="preserve"> </w:t>
      </w:r>
      <w:r w:rsidRPr="00D93E90">
        <w:rPr>
          <w:b/>
        </w:rPr>
        <w:t xml:space="preserve">miles de </w:t>
      </w:r>
      <w:r w:rsidRPr="00D93E90">
        <w:rPr>
          <w:b/>
        </w:rPr>
        <w:lastRenderedPageBreak/>
        <w:t>€</w:t>
      </w:r>
      <w:r>
        <w:t xml:space="preserve"> de los que </w:t>
      </w:r>
      <w:r>
        <w:rPr>
          <w:b/>
        </w:rPr>
        <w:t xml:space="preserve">200,00 </w:t>
      </w:r>
      <w:r w:rsidRPr="00D93E90">
        <w:rPr>
          <w:b/>
        </w:rPr>
        <w:t>miles de €</w:t>
      </w:r>
      <w:r>
        <w:t xml:space="preserve"> corresponden al ejercicio 2019.</w:t>
      </w:r>
    </w:p>
    <w:p w:rsidR="00ED662C" w:rsidRDefault="00ED662C" w:rsidP="00ED662C">
      <w:pPr>
        <w:pStyle w:val="Prrafodelista"/>
      </w:pPr>
    </w:p>
    <w:p w:rsidR="00ED662C" w:rsidRDefault="00ED662C" w:rsidP="00ED662C">
      <w:pPr>
        <w:pStyle w:val="Prrafodelista"/>
        <w:numPr>
          <w:ilvl w:val="0"/>
          <w:numId w:val="22"/>
        </w:numPr>
        <w:spacing w:line="240" w:lineRule="auto"/>
      </w:pPr>
      <w:r>
        <w:t xml:space="preserve">"Intervención en las huertas del Palacio Infante Don Luís de Boadilla del Monte (Madrid)", cuyo coste total asciende a </w:t>
      </w:r>
      <w:r w:rsidRPr="0098608C">
        <w:rPr>
          <w:b/>
        </w:rPr>
        <w:t>1.</w:t>
      </w:r>
      <w:r>
        <w:rPr>
          <w:b/>
        </w:rPr>
        <w:t xml:space="preserve">414,09 </w:t>
      </w:r>
      <w:r w:rsidRPr="00D93E90">
        <w:rPr>
          <w:b/>
        </w:rPr>
        <w:t xml:space="preserve">miles de € </w:t>
      </w:r>
      <w:r>
        <w:t xml:space="preserve">de los que </w:t>
      </w:r>
      <w:r>
        <w:rPr>
          <w:b/>
        </w:rPr>
        <w:t xml:space="preserve">351,14 </w:t>
      </w:r>
      <w:r w:rsidRPr="00D93E90">
        <w:rPr>
          <w:b/>
        </w:rPr>
        <w:t>miles de €</w:t>
      </w:r>
      <w:r>
        <w:t xml:space="preserve"> corresponden al ejercicio 2019.</w:t>
      </w:r>
    </w:p>
    <w:p w:rsidR="00ED662C" w:rsidRDefault="00ED662C" w:rsidP="00ED662C">
      <w:pPr>
        <w:pStyle w:val="Prrafodelista"/>
        <w:spacing w:line="240" w:lineRule="auto"/>
        <w:ind w:left="596"/>
      </w:pPr>
    </w:p>
    <w:p w:rsidR="00ED662C" w:rsidRDefault="00ED662C" w:rsidP="00ED662C">
      <w:pPr>
        <w:pStyle w:val="Prrafodelista"/>
        <w:numPr>
          <w:ilvl w:val="0"/>
          <w:numId w:val="22"/>
        </w:numPr>
        <w:spacing w:line="240" w:lineRule="auto"/>
      </w:pPr>
      <w:r>
        <w:t xml:space="preserve">"Rehabilitación del Museo del Ferrocarril en Delicias", cuyo coste total asciende a </w:t>
      </w:r>
      <w:r w:rsidRPr="00D93E90">
        <w:rPr>
          <w:b/>
        </w:rPr>
        <w:t>2.309 miles de €</w:t>
      </w:r>
      <w:r>
        <w:t xml:space="preserve"> de los que </w:t>
      </w:r>
      <w:r w:rsidRPr="00D93E90">
        <w:rPr>
          <w:b/>
        </w:rPr>
        <w:t>20</w:t>
      </w:r>
      <w:r>
        <w:rPr>
          <w:b/>
        </w:rPr>
        <w:t>0,00</w:t>
      </w:r>
      <w:r w:rsidRPr="00D93E90">
        <w:rPr>
          <w:b/>
        </w:rPr>
        <w:t xml:space="preserve"> miles de €</w:t>
      </w:r>
      <w:r>
        <w:t xml:space="preserve"> corresponden al ejercicio 2019.</w:t>
      </w:r>
    </w:p>
    <w:p w:rsidR="00ED662C" w:rsidRDefault="00ED662C" w:rsidP="00ED662C">
      <w:pPr>
        <w:pStyle w:val="Prrafodelista"/>
      </w:pPr>
    </w:p>
    <w:p w:rsidR="00ED662C" w:rsidRDefault="00ED662C" w:rsidP="00ED662C">
      <w:pPr>
        <w:pStyle w:val="Prrafodelista"/>
        <w:numPr>
          <w:ilvl w:val="0"/>
          <w:numId w:val="22"/>
        </w:numPr>
        <w:spacing w:line="240" w:lineRule="auto"/>
      </w:pPr>
      <w:r>
        <w:t xml:space="preserve">"Rehabilitación del antiguo archivo del Reino para Casa de Arqueólogos", cuyo coste total asciende a </w:t>
      </w:r>
      <w:r w:rsidRPr="00D93E90">
        <w:rPr>
          <w:b/>
        </w:rPr>
        <w:t>1.572,5 miles de €</w:t>
      </w:r>
      <w:r>
        <w:t xml:space="preserve"> de los que </w:t>
      </w:r>
      <w:r w:rsidRPr="00D93E90">
        <w:rPr>
          <w:b/>
        </w:rPr>
        <w:t>20</w:t>
      </w:r>
      <w:r>
        <w:rPr>
          <w:b/>
        </w:rPr>
        <w:t>,00</w:t>
      </w:r>
      <w:r w:rsidRPr="00D93E90">
        <w:rPr>
          <w:b/>
        </w:rPr>
        <w:t xml:space="preserve"> miles de €</w:t>
      </w:r>
      <w:r>
        <w:t xml:space="preserve"> corresponden al ejercicio 2019.</w:t>
      </w:r>
    </w:p>
    <w:p w:rsidR="00ED662C" w:rsidRDefault="00ED662C" w:rsidP="00ED662C">
      <w:pPr>
        <w:pStyle w:val="Prrafodelista"/>
      </w:pPr>
    </w:p>
    <w:p w:rsidR="00ED662C" w:rsidRDefault="00ED662C" w:rsidP="00ED662C">
      <w:pPr>
        <w:pStyle w:val="Prrafodelista"/>
        <w:numPr>
          <w:ilvl w:val="0"/>
          <w:numId w:val="22"/>
        </w:numPr>
        <w:spacing w:line="240" w:lineRule="auto"/>
      </w:pPr>
      <w:r>
        <w:t xml:space="preserve">"Restauración de la Iglesia de las Comendadoras en Madrid", cuyo coste total asciende a </w:t>
      </w:r>
      <w:r>
        <w:rPr>
          <w:b/>
        </w:rPr>
        <w:t>5.269,52</w:t>
      </w:r>
      <w:r w:rsidRPr="00D93E90">
        <w:rPr>
          <w:b/>
        </w:rPr>
        <w:t xml:space="preserve"> miles de €</w:t>
      </w:r>
      <w:r>
        <w:t xml:space="preserve"> de los que </w:t>
      </w:r>
      <w:r>
        <w:rPr>
          <w:b/>
        </w:rPr>
        <w:t>616,52</w:t>
      </w:r>
      <w:r w:rsidRPr="00D93E90">
        <w:rPr>
          <w:b/>
        </w:rPr>
        <w:t xml:space="preserve"> miles de €</w:t>
      </w:r>
      <w:r>
        <w:t xml:space="preserve"> corresponden al ejercicio 2019.</w:t>
      </w:r>
    </w:p>
    <w:p w:rsidR="00ED662C" w:rsidRDefault="00ED662C" w:rsidP="00ED662C">
      <w:pPr>
        <w:pStyle w:val="Prrafodelista"/>
      </w:pPr>
    </w:p>
    <w:p w:rsidR="00ED662C" w:rsidRDefault="00ED662C" w:rsidP="00ED662C">
      <w:pPr>
        <w:pStyle w:val="Prrafodelista"/>
        <w:numPr>
          <w:ilvl w:val="0"/>
          <w:numId w:val="22"/>
        </w:numPr>
        <w:spacing w:line="240" w:lineRule="auto"/>
      </w:pPr>
      <w:r>
        <w:t xml:space="preserve">"Obras de nuevo acceso para el Museo Naval de Madrid", cuyo coste total asciende a </w:t>
      </w:r>
      <w:r>
        <w:rPr>
          <w:b/>
        </w:rPr>
        <w:t>445,57</w:t>
      </w:r>
      <w:r w:rsidRPr="00D93E90">
        <w:rPr>
          <w:b/>
        </w:rPr>
        <w:t xml:space="preserve"> miles de €</w:t>
      </w:r>
      <w:r>
        <w:t xml:space="preserve"> de los que </w:t>
      </w:r>
      <w:r>
        <w:rPr>
          <w:b/>
        </w:rPr>
        <w:t xml:space="preserve">409,63 </w:t>
      </w:r>
      <w:r w:rsidRPr="00D93E90">
        <w:rPr>
          <w:b/>
        </w:rPr>
        <w:t>miles de €</w:t>
      </w:r>
      <w:r>
        <w:t xml:space="preserve"> corresponden al ejercicio 2019.</w:t>
      </w:r>
    </w:p>
    <w:p w:rsidR="00ED662C" w:rsidRDefault="00ED662C" w:rsidP="00ED662C">
      <w:pPr>
        <w:pStyle w:val="Prrafodelista"/>
      </w:pPr>
    </w:p>
    <w:p w:rsidR="00ED662C" w:rsidRPr="00265FC4" w:rsidRDefault="00ED662C" w:rsidP="00ED662C">
      <w:pPr>
        <w:pStyle w:val="Prrafodelista"/>
        <w:numPr>
          <w:ilvl w:val="0"/>
          <w:numId w:val="22"/>
        </w:numPr>
      </w:pPr>
      <w:r w:rsidRPr="00265FC4">
        <w:t>"</w:t>
      </w:r>
      <w:r>
        <w:t>A</w:t>
      </w:r>
      <w:r w:rsidRPr="00265FC4">
        <w:t xml:space="preserve">mpliación del edificio de la </w:t>
      </w:r>
      <w:r>
        <w:t>R</w:t>
      </w:r>
      <w:r w:rsidRPr="00265FC4">
        <w:t xml:space="preserve">eal </w:t>
      </w:r>
      <w:r>
        <w:t>A</w:t>
      </w:r>
      <w:r w:rsidRPr="00265FC4">
        <w:t xml:space="preserve">cademia de </w:t>
      </w:r>
      <w:r>
        <w:t>J</w:t>
      </w:r>
      <w:r w:rsidRPr="00265FC4">
        <w:t xml:space="preserve">urisprudencia y </w:t>
      </w:r>
      <w:r>
        <w:t>L</w:t>
      </w:r>
      <w:r w:rsidRPr="00265FC4">
        <w:t xml:space="preserve">egislación, calle </w:t>
      </w:r>
      <w:r>
        <w:t>M</w:t>
      </w:r>
      <w:r w:rsidRPr="00265FC4">
        <w:t xml:space="preserve">arqués de </w:t>
      </w:r>
      <w:r>
        <w:t>C</w:t>
      </w:r>
      <w:r w:rsidRPr="00265FC4">
        <w:t>ubas nº 15 (M</w:t>
      </w:r>
      <w:r>
        <w:t>adrid</w:t>
      </w:r>
      <w:r w:rsidRPr="00265FC4">
        <w:t xml:space="preserve">)", cuyo coste total asciende a </w:t>
      </w:r>
      <w:r>
        <w:rPr>
          <w:b/>
        </w:rPr>
        <w:t>5.03</w:t>
      </w:r>
      <w:r w:rsidRPr="00265FC4">
        <w:rPr>
          <w:b/>
        </w:rPr>
        <w:t>3,70</w:t>
      </w:r>
      <w:r>
        <w:rPr>
          <w:b/>
        </w:rPr>
        <w:t xml:space="preserve"> </w:t>
      </w:r>
      <w:r w:rsidRPr="00265FC4">
        <w:rPr>
          <w:b/>
        </w:rPr>
        <w:t>miles de €</w:t>
      </w:r>
      <w:r w:rsidRPr="00265FC4">
        <w:t xml:space="preserve"> de los que </w:t>
      </w:r>
      <w:r>
        <w:rPr>
          <w:b/>
        </w:rPr>
        <w:t>200</w:t>
      </w:r>
      <w:r w:rsidRPr="00265FC4">
        <w:rPr>
          <w:b/>
        </w:rPr>
        <w:t>,00</w:t>
      </w:r>
      <w:r>
        <w:rPr>
          <w:b/>
        </w:rPr>
        <w:t xml:space="preserve"> </w:t>
      </w:r>
      <w:r w:rsidRPr="00265FC4">
        <w:rPr>
          <w:b/>
        </w:rPr>
        <w:t>miles de €</w:t>
      </w:r>
      <w:r w:rsidRPr="00265FC4">
        <w:t xml:space="preserve"> corresponden al ejercicio </w:t>
      </w:r>
      <w:r>
        <w:t>2019</w:t>
      </w:r>
      <w:r w:rsidRPr="00265FC4">
        <w:t>.</w:t>
      </w:r>
    </w:p>
    <w:p w:rsidR="00AF4BA9" w:rsidRDefault="00AF4BA9" w:rsidP="00AF4BA9">
      <w:pPr>
        <w:ind w:left="142"/>
      </w:pPr>
    </w:p>
    <w:p w:rsidR="00AF4BA9" w:rsidRDefault="00AF4BA9" w:rsidP="00ED662C">
      <w:pPr>
        <w:pStyle w:val="Ttulo3"/>
        <w:numPr>
          <w:ilvl w:val="2"/>
          <w:numId w:val="27"/>
        </w:numPr>
      </w:pPr>
      <w:r w:rsidRPr="0018484A">
        <w:lastRenderedPageBreak/>
        <w:t>Programa de Conservación del Patrimonio Histórico Artístico, 1,5% Cultural.</w:t>
      </w:r>
    </w:p>
    <w:p w:rsidR="00ED662C" w:rsidRDefault="00ED662C" w:rsidP="00ED662C">
      <w:pPr>
        <w:shd w:val="clear" w:color="auto" w:fill="FFFFFF"/>
        <w:spacing w:after="240"/>
        <w:ind w:left="709"/>
        <w:rPr>
          <w:rFonts w:asciiTheme="minorHAnsi" w:hAnsiTheme="minorHAnsi" w:cs="Arial"/>
          <w:b/>
          <w:szCs w:val="24"/>
        </w:rPr>
      </w:pPr>
      <w:r>
        <w:rPr>
          <w:rFonts w:asciiTheme="minorHAnsi" w:hAnsiTheme="minorHAnsi" w:cs="Arial"/>
          <w:szCs w:val="24"/>
        </w:rPr>
        <w:t xml:space="preserve">La </w:t>
      </w:r>
      <w:r>
        <w:rPr>
          <w:rFonts w:asciiTheme="minorHAnsi" w:hAnsiTheme="minorHAnsi" w:cs="Arial"/>
          <w:b/>
          <w:szCs w:val="24"/>
        </w:rPr>
        <w:t>Comisión Mixta del 1,5% Cultural</w:t>
      </w:r>
      <w:r>
        <w:rPr>
          <w:rFonts w:asciiTheme="minorHAnsi" w:hAnsiTheme="minorHAnsi" w:cs="Arial"/>
          <w:szCs w:val="24"/>
        </w:rPr>
        <w:t xml:space="preserve">, integrada por los Ministerios de Fomento y de Educación, Cultura y Deporte </w:t>
      </w:r>
      <w:r>
        <w:rPr>
          <w:rFonts w:asciiTheme="minorHAnsi" w:hAnsiTheme="minorHAnsi" w:cs="Arial"/>
          <w:b/>
          <w:szCs w:val="24"/>
        </w:rPr>
        <w:t>aprobó provisionalmente, el pasado 11 de enero de 2018, la financiación de un total de 73 nuevas actuaciones distribuidas por toda España</w:t>
      </w:r>
      <w:r>
        <w:rPr>
          <w:rFonts w:asciiTheme="minorHAnsi" w:hAnsiTheme="minorHAnsi" w:cs="Arial"/>
          <w:szCs w:val="24"/>
        </w:rPr>
        <w:t xml:space="preserve"> como consecuencia de la convocatoria de </w:t>
      </w:r>
      <w:r>
        <w:rPr>
          <w:rFonts w:asciiTheme="minorHAnsi" w:hAnsiTheme="minorHAnsi" w:cs="Arial"/>
          <w:bCs/>
          <w:szCs w:val="24"/>
        </w:rPr>
        <w:t xml:space="preserve">ayudas para financiar trabajos de conservación o enriquecimiento de bienes inmuebles del Patrimonio Histórico Español, dentro del Programa «1,5% Cultural», realizada en julio de 2017. </w:t>
      </w:r>
      <w:r>
        <w:rPr>
          <w:rFonts w:asciiTheme="minorHAnsi" w:hAnsiTheme="minorHAnsi" w:cs="Arial"/>
          <w:b/>
          <w:szCs w:val="24"/>
        </w:rPr>
        <w:t xml:space="preserve">La aportación total del Ministerio de Fomento ascenderá a 50.520.823,21 €. </w:t>
      </w:r>
    </w:p>
    <w:p w:rsidR="00ED662C" w:rsidRDefault="00ED662C" w:rsidP="00ED662C">
      <w:pPr>
        <w:shd w:val="clear" w:color="auto" w:fill="FFFFFF"/>
        <w:spacing w:after="240"/>
        <w:ind w:left="709"/>
        <w:rPr>
          <w:rFonts w:asciiTheme="minorHAnsi" w:hAnsiTheme="minorHAnsi" w:cs="Arial"/>
          <w:szCs w:val="24"/>
        </w:rPr>
      </w:pPr>
      <w:r>
        <w:rPr>
          <w:rFonts w:asciiTheme="minorHAnsi" w:hAnsiTheme="minorHAnsi" w:cs="Arial"/>
          <w:szCs w:val="24"/>
        </w:rPr>
        <w:t xml:space="preserve">La selección y priorización de los proyectos se ha realizado de conformidad con el procedimiento establecido en la </w:t>
      </w:r>
      <w:r>
        <w:rPr>
          <w:rFonts w:asciiTheme="minorHAnsi" w:hAnsiTheme="minorHAnsi" w:cs="Arial"/>
          <w:b/>
          <w:bCs/>
          <w:szCs w:val="24"/>
        </w:rPr>
        <w:t>Orden FOM/1932/2014</w:t>
      </w:r>
      <w:r>
        <w:rPr>
          <w:rFonts w:asciiTheme="minorHAnsi" w:hAnsiTheme="minorHAnsi" w:cs="Arial"/>
          <w:szCs w:val="24"/>
        </w:rPr>
        <w:t xml:space="preserve"> por la que se aprueban las bases reguladoras de la concesión de ayudas para actuaciones de conservación o enriquecimiento del Patrimonio Histórico Español, con cargo a los recursos procedentes de las obras públicas financiadas por el Ministerio de Fomento y por la Entidades del sector publico dependientes o vinculadas.</w:t>
      </w:r>
    </w:p>
    <w:p w:rsidR="00ED662C" w:rsidRDefault="00ED662C" w:rsidP="00ED662C">
      <w:pPr>
        <w:shd w:val="clear" w:color="auto" w:fill="FFFFFF"/>
        <w:spacing w:after="240"/>
        <w:ind w:left="709"/>
        <w:rPr>
          <w:rFonts w:asciiTheme="minorHAnsi" w:hAnsiTheme="minorHAnsi" w:cs="Arial"/>
          <w:szCs w:val="24"/>
        </w:rPr>
      </w:pPr>
      <w:r>
        <w:rPr>
          <w:rFonts w:asciiTheme="minorHAnsi" w:hAnsiTheme="minorHAnsi" w:cs="Arial"/>
          <w:b/>
          <w:szCs w:val="24"/>
        </w:rPr>
        <w:t>El 11 de diciembre de 2018 el Ministro firmo la primera Resolución parcial definitiva</w:t>
      </w:r>
      <w:r>
        <w:rPr>
          <w:rFonts w:asciiTheme="minorHAnsi" w:hAnsiTheme="minorHAnsi" w:cs="Arial"/>
          <w:szCs w:val="24"/>
        </w:rPr>
        <w:t xml:space="preserve"> de esta Convocatoria, en la que están recogidas un total de 54 de estas actuaciones, indicando las aportaciones financiables una vez detraídas las partidas no financiables conforme establecen las bases, y dan como resultado </w:t>
      </w:r>
      <w:r>
        <w:rPr>
          <w:rFonts w:asciiTheme="minorHAnsi" w:hAnsiTheme="minorHAnsi" w:cs="Arial"/>
          <w:b/>
          <w:szCs w:val="24"/>
        </w:rPr>
        <w:t>una aportación del Ministerio de Fomento de 32.145.266,21 €</w:t>
      </w:r>
      <w:r>
        <w:rPr>
          <w:rFonts w:asciiTheme="minorHAnsi" w:hAnsiTheme="minorHAnsi" w:cs="Arial"/>
          <w:szCs w:val="24"/>
        </w:rPr>
        <w:t xml:space="preserve">. De las 19 restantes pendientes de resolver, 1 ha desistido formalmente y se han incorporado 3 nuevas solicitudes a fin de agotar el crédito </w:t>
      </w:r>
      <w:r>
        <w:rPr>
          <w:rFonts w:asciiTheme="minorHAnsi" w:hAnsiTheme="minorHAnsi" w:cs="Arial"/>
          <w:szCs w:val="24"/>
        </w:rPr>
        <w:lastRenderedPageBreak/>
        <w:t xml:space="preserve">disponible con la parte liberada por las partidas no financiables y el desistimiento mencionado. En definitiva quedan por resolver un total de </w:t>
      </w:r>
      <w:r>
        <w:rPr>
          <w:rFonts w:asciiTheme="minorHAnsi" w:hAnsiTheme="minorHAnsi" w:cs="Arial"/>
          <w:b/>
          <w:szCs w:val="24"/>
        </w:rPr>
        <w:t>21 nuevas actuaciones</w:t>
      </w:r>
      <w:r>
        <w:rPr>
          <w:rFonts w:asciiTheme="minorHAnsi" w:hAnsiTheme="minorHAnsi" w:cs="Arial"/>
          <w:szCs w:val="24"/>
        </w:rPr>
        <w:t xml:space="preserve"> con una aportación estimada </w:t>
      </w:r>
      <w:r>
        <w:rPr>
          <w:rFonts w:asciiTheme="minorHAnsi" w:hAnsiTheme="minorHAnsi" w:cs="Arial"/>
          <w:b/>
          <w:szCs w:val="24"/>
        </w:rPr>
        <w:t>provisional de 16.513.053,00 €.</w:t>
      </w:r>
    </w:p>
    <w:p w:rsidR="00ED662C" w:rsidRDefault="00ED662C" w:rsidP="00ED662C">
      <w:pPr>
        <w:shd w:val="clear" w:color="auto" w:fill="FFFFFF"/>
        <w:spacing w:after="240"/>
        <w:ind w:left="709"/>
        <w:rPr>
          <w:rFonts w:asciiTheme="minorHAnsi" w:hAnsiTheme="minorHAnsi" w:cs="Arial"/>
          <w:szCs w:val="24"/>
        </w:rPr>
      </w:pPr>
      <w:r>
        <w:rPr>
          <w:rFonts w:asciiTheme="minorHAnsi" w:hAnsiTheme="minorHAnsi" w:cs="Arial"/>
          <w:szCs w:val="24"/>
        </w:rPr>
        <w:t xml:space="preserve">Las actuaciones seleccionadas en la </w:t>
      </w:r>
      <w:r>
        <w:rPr>
          <w:rFonts w:asciiTheme="minorHAnsi" w:hAnsiTheme="minorHAnsi" w:cs="Arial"/>
          <w:b/>
          <w:szCs w:val="24"/>
        </w:rPr>
        <w:t>Comunidad Autónoma de Madrid</w:t>
      </w:r>
      <w:r>
        <w:rPr>
          <w:rFonts w:asciiTheme="minorHAnsi" w:hAnsiTheme="minorHAnsi" w:cs="Arial"/>
          <w:szCs w:val="24"/>
        </w:rPr>
        <w:t xml:space="preserve"> son las indicadas en los siguientes cuadros:</w:t>
      </w:r>
    </w:p>
    <w:p w:rsidR="00ED662C" w:rsidRDefault="00ED662C" w:rsidP="00ED662C">
      <w:pPr>
        <w:shd w:val="clear" w:color="auto" w:fill="FFFFFF"/>
        <w:spacing w:after="240"/>
        <w:ind w:left="709"/>
        <w:rPr>
          <w:rFonts w:asciiTheme="minorHAnsi" w:hAnsiTheme="minorHAnsi" w:cs="Arial"/>
          <w:szCs w:val="24"/>
        </w:rPr>
      </w:pPr>
      <w:r>
        <w:rPr>
          <w:rFonts w:asciiTheme="minorHAnsi" w:hAnsiTheme="minorHAnsi" w:cs="Arial"/>
          <w:b/>
          <w:szCs w:val="24"/>
        </w:rPr>
        <w:t>ACTUACIONES CONVOCATORIA 2017 CON APROBACIÓN PROVISIONAL</w:t>
      </w:r>
    </w:p>
    <w:tbl>
      <w:tblPr>
        <w:tblW w:w="10380" w:type="dxa"/>
        <w:tblCellMar>
          <w:left w:w="70" w:type="dxa"/>
          <w:right w:w="70" w:type="dxa"/>
        </w:tblCellMar>
        <w:tblLook w:val="04A0" w:firstRow="1" w:lastRow="0" w:firstColumn="1" w:lastColumn="0" w:noHBand="0" w:noVBand="1"/>
      </w:tblPr>
      <w:tblGrid>
        <w:gridCol w:w="3820"/>
        <w:gridCol w:w="1200"/>
        <w:gridCol w:w="1340"/>
        <w:gridCol w:w="1340"/>
        <w:gridCol w:w="1340"/>
        <w:gridCol w:w="1340"/>
      </w:tblGrid>
      <w:tr w:rsidR="00ED662C" w:rsidTr="00ED662C">
        <w:trPr>
          <w:trHeight w:val="720"/>
        </w:trPr>
        <w:tc>
          <w:tcPr>
            <w:tcW w:w="3820" w:type="dxa"/>
            <w:tcBorders>
              <w:top w:val="single" w:sz="4" w:space="0" w:color="auto"/>
              <w:left w:val="single" w:sz="4" w:space="0" w:color="auto"/>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Actuación</w:t>
            </w:r>
          </w:p>
        </w:tc>
        <w:tc>
          <w:tcPr>
            <w:tcW w:w="120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Localización</w:t>
            </w:r>
          </w:p>
        </w:tc>
        <w:tc>
          <w:tcPr>
            <w:tcW w:w="1340" w:type="dxa"/>
            <w:tcBorders>
              <w:top w:val="single" w:sz="4" w:space="0" w:color="auto"/>
              <w:left w:val="single" w:sz="4" w:space="0" w:color="auto"/>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Total financiable provisional</w:t>
            </w:r>
          </w:p>
        </w:tc>
        <w:tc>
          <w:tcPr>
            <w:tcW w:w="134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Aportación Fomento provisional</w:t>
            </w:r>
          </w:p>
        </w:tc>
        <w:tc>
          <w:tcPr>
            <w:tcW w:w="134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Anualidad 2018</w:t>
            </w:r>
          </w:p>
        </w:tc>
        <w:tc>
          <w:tcPr>
            <w:tcW w:w="1340" w:type="dxa"/>
            <w:tcBorders>
              <w:top w:val="single" w:sz="4" w:space="0" w:color="auto"/>
              <w:left w:val="nil"/>
              <w:bottom w:val="single" w:sz="4" w:space="0" w:color="000000"/>
              <w:right w:val="single" w:sz="4" w:space="0" w:color="auto"/>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Anualidad 2019</w:t>
            </w:r>
          </w:p>
        </w:tc>
      </w:tr>
      <w:tr w:rsidR="00ED662C" w:rsidTr="00ED662C">
        <w:trPr>
          <w:trHeight w:val="720"/>
        </w:trPr>
        <w:tc>
          <w:tcPr>
            <w:tcW w:w="382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left"/>
              <w:rPr>
                <w:rFonts w:cs="Calibri"/>
                <w:color w:val="000000"/>
                <w:sz w:val="18"/>
                <w:szCs w:val="18"/>
                <w:lang w:eastAsia="es-ES"/>
              </w:rPr>
            </w:pPr>
            <w:r>
              <w:rPr>
                <w:rFonts w:cs="Calibri"/>
                <w:color w:val="000000"/>
                <w:sz w:val="18"/>
                <w:szCs w:val="18"/>
                <w:lang w:eastAsia="es-ES"/>
              </w:rPr>
              <w:t>Restauración de las pinturas murales de dos cúpulas de las capillas de San Francisco el Grande</w:t>
            </w:r>
          </w:p>
        </w:tc>
        <w:tc>
          <w:tcPr>
            <w:tcW w:w="1200" w:type="dxa"/>
            <w:tcBorders>
              <w:top w:val="nil"/>
              <w:left w:val="nil"/>
              <w:bottom w:val="single" w:sz="4" w:space="0" w:color="000000"/>
              <w:right w:val="single" w:sz="4" w:space="0" w:color="000000"/>
            </w:tcBorders>
            <w:vAlign w:val="center"/>
            <w:hideMark/>
          </w:tcPr>
          <w:p w:rsidR="00ED662C" w:rsidRDefault="00ED662C">
            <w:pPr>
              <w:spacing w:after="0" w:line="240" w:lineRule="auto"/>
              <w:jc w:val="center"/>
              <w:rPr>
                <w:rFonts w:cs="Calibri"/>
                <w:color w:val="000000"/>
                <w:sz w:val="18"/>
                <w:szCs w:val="18"/>
                <w:lang w:eastAsia="es-ES"/>
              </w:rPr>
            </w:pPr>
            <w:r>
              <w:rPr>
                <w:rFonts w:cs="Calibri"/>
                <w:color w:val="000000"/>
                <w:sz w:val="18"/>
                <w:szCs w:val="18"/>
                <w:lang w:eastAsia="es-ES"/>
              </w:rPr>
              <w:t>Madrid</w:t>
            </w:r>
          </w:p>
        </w:tc>
        <w:tc>
          <w:tcPr>
            <w:tcW w:w="134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421.185,00 €</w:t>
            </w:r>
          </w:p>
        </w:tc>
        <w:tc>
          <w:tcPr>
            <w:tcW w:w="1340" w:type="dxa"/>
            <w:tcBorders>
              <w:top w:val="nil"/>
              <w:left w:val="nil"/>
              <w:bottom w:val="single" w:sz="4" w:space="0" w:color="000000"/>
              <w:right w:val="single" w:sz="4" w:space="0" w:color="000000"/>
            </w:tcBorders>
            <w:noWrap/>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221.185,00 €</w:t>
            </w:r>
          </w:p>
        </w:tc>
        <w:tc>
          <w:tcPr>
            <w:tcW w:w="1340" w:type="dxa"/>
            <w:tcBorders>
              <w:top w:val="nil"/>
              <w:left w:val="nil"/>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0,00 €</w:t>
            </w:r>
          </w:p>
        </w:tc>
        <w:tc>
          <w:tcPr>
            <w:tcW w:w="1340" w:type="dxa"/>
            <w:tcBorders>
              <w:top w:val="nil"/>
              <w:left w:val="nil"/>
              <w:bottom w:val="single" w:sz="4" w:space="0" w:color="000000"/>
              <w:right w:val="single" w:sz="4" w:space="0" w:color="auto"/>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221.185,00 €</w:t>
            </w:r>
          </w:p>
        </w:tc>
      </w:tr>
      <w:tr w:rsidR="00ED662C" w:rsidTr="00ED662C">
        <w:trPr>
          <w:trHeight w:val="300"/>
        </w:trPr>
        <w:tc>
          <w:tcPr>
            <w:tcW w:w="5020" w:type="dxa"/>
            <w:gridSpan w:val="2"/>
            <w:tcBorders>
              <w:top w:val="single" w:sz="4" w:space="0" w:color="000000"/>
              <w:left w:val="single" w:sz="4" w:space="0" w:color="auto"/>
              <w:bottom w:val="single" w:sz="4" w:space="0" w:color="auto"/>
              <w:right w:val="single" w:sz="4" w:space="0" w:color="000000"/>
            </w:tcBorders>
            <w:shd w:val="clear" w:color="auto" w:fill="FFE699"/>
            <w:noWrap/>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1 Actuaciones pendientes de resolución definitiva</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421.185,00 €</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221.185,00 €</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0,00 €</w:t>
            </w:r>
          </w:p>
        </w:tc>
        <w:tc>
          <w:tcPr>
            <w:tcW w:w="1340" w:type="dxa"/>
            <w:tcBorders>
              <w:top w:val="nil"/>
              <w:left w:val="nil"/>
              <w:bottom w:val="single" w:sz="4" w:space="0" w:color="auto"/>
              <w:right w:val="single" w:sz="4" w:space="0" w:color="auto"/>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221.185,00 €</w:t>
            </w:r>
          </w:p>
        </w:tc>
      </w:tr>
    </w:tbl>
    <w:p w:rsidR="00ED662C" w:rsidRDefault="00ED662C" w:rsidP="00ED662C">
      <w:pPr>
        <w:shd w:val="clear" w:color="auto" w:fill="FFFFFF"/>
        <w:spacing w:after="240"/>
        <w:ind w:left="709"/>
        <w:rPr>
          <w:rFonts w:asciiTheme="minorHAnsi" w:hAnsiTheme="minorHAnsi" w:cs="Arial"/>
          <w:szCs w:val="24"/>
        </w:rPr>
      </w:pPr>
      <w:r>
        <w:rPr>
          <w:rFonts w:asciiTheme="minorHAnsi" w:hAnsiTheme="minorHAnsi" w:cs="Arial"/>
          <w:szCs w:val="24"/>
        </w:rPr>
        <w:t>No obstante, es imprescindible señalar que tanto las actuaciones indicadas como sus respectivos importes, cuentan exclusivamente con la aprobación provisional del Departamento. Una vez presentada la documentación definitiva y admitida, en su caso, por el centro gestor, se podrá determinar finalmente las actuaciones e importes, que en todo caso tienen el carácter de máximas. Por lo tanto, es probable que esta información sufra modificaciones tras la aprobación definitiva de las ayudas.</w:t>
      </w:r>
    </w:p>
    <w:p w:rsidR="00ED662C" w:rsidRDefault="00ED662C" w:rsidP="00ED662C">
      <w:pPr>
        <w:shd w:val="clear" w:color="auto" w:fill="FFFFFF"/>
        <w:spacing w:after="240"/>
        <w:ind w:left="709"/>
        <w:rPr>
          <w:rFonts w:asciiTheme="minorHAnsi" w:hAnsiTheme="minorHAnsi" w:cs="Arial"/>
          <w:szCs w:val="24"/>
        </w:rPr>
      </w:pPr>
      <w:r>
        <w:rPr>
          <w:rFonts w:asciiTheme="minorHAnsi" w:hAnsiTheme="minorHAnsi" w:cs="Arial"/>
          <w:b/>
          <w:szCs w:val="24"/>
        </w:rPr>
        <w:t>ACTUACIONES CONVOCATORIA 2017 CON RESOLUCIÓN DEFINITIVA</w:t>
      </w:r>
    </w:p>
    <w:tbl>
      <w:tblPr>
        <w:tblW w:w="10380" w:type="dxa"/>
        <w:tblCellMar>
          <w:left w:w="70" w:type="dxa"/>
          <w:right w:w="70" w:type="dxa"/>
        </w:tblCellMar>
        <w:tblLook w:val="04A0" w:firstRow="1" w:lastRow="0" w:firstColumn="1" w:lastColumn="0" w:noHBand="0" w:noVBand="1"/>
      </w:tblPr>
      <w:tblGrid>
        <w:gridCol w:w="3820"/>
        <w:gridCol w:w="1200"/>
        <w:gridCol w:w="1340"/>
        <w:gridCol w:w="1340"/>
        <w:gridCol w:w="1340"/>
        <w:gridCol w:w="1340"/>
      </w:tblGrid>
      <w:tr w:rsidR="00ED662C" w:rsidTr="00ED662C">
        <w:trPr>
          <w:trHeight w:val="480"/>
        </w:trPr>
        <w:tc>
          <w:tcPr>
            <w:tcW w:w="3820" w:type="dxa"/>
            <w:tcBorders>
              <w:top w:val="single" w:sz="4" w:space="0" w:color="auto"/>
              <w:left w:val="single" w:sz="4" w:space="0" w:color="auto"/>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Actuación</w:t>
            </w:r>
          </w:p>
        </w:tc>
        <w:tc>
          <w:tcPr>
            <w:tcW w:w="120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Localización</w:t>
            </w:r>
          </w:p>
        </w:tc>
        <w:tc>
          <w:tcPr>
            <w:tcW w:w="1340" w:type="dxa"/>
            <w:tcBorders>
              <w:top w:val="single" w:sz="4" w:space="0" w:color="auto"/>
              <w:left w:val="single" w:sz="4" w:space="0" w:color="auto"/>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Total financiable</w:t>
            </w:r>
          </w:p>
        </w:tc>
        <w:tc>
          <w:tcPr>
            <w:tcW w:w="134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Aportación Fomento</w:t>
            </w:r>
          </w:p>
        </w:tc>
        <w:tc>
          <w:tcPr>
            <w:tcW w:w="134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Anualidad 2018</w:t>
            </w:r>
          </w:p>
        </w:tc>
        <w:tc>
          <w:tcPr>
            <w:tcW w:w="1340" w:type="dxa"/>
            <w:tcBorders>
              <w:top w:val="single" w:sz="4" w:space="0" w:color="auto"/>
              <w:left w:val="nil"/>
              <w:bottom w:val="single" w:sz="4" w:space="0" w:color="000000"/>
              <w:right w:val="single" w:sz="4" w:space="0" w:color="auto"/>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Anualidad 2019</w:t>
            </w:r>
          </w:p>
        </w:tc>
      </w:tr>
      <w:tr w:rsidR="00ED662C" w:rsidTr="00ED662C">
        <w:trPr>
          <w:trHeight w:val="600"/>
        </w:trPr>
        <w:tc>
          <w:tcPr>
            <w:tcW w:w="382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left"/>
              <w:rPr>
                <w:rFonts w:cs="Calibri"/>
                <w:color w:val="000000"/>
                <w:sz w:val="18"/>
                <w:szCs w:val="18"/>
                <w:lang w:eastAsia="es-ES"/>
              </w:rPr>
            </w:pPr>
            <w:r>
              <w:rPr>
                <w:rFonts w:cs="Calibri"/>
                <w:color w:val="000000"/>
                <w:sz w:val="18"/>
                <w:szCs w:val="18"/>
                <w:lang w:eastAsia="es-ES"/>
              </w:rPr>
              <w:t>Restauración de la plaza de toros de Aranjuez</w:t>
            </w:r>
          </w:p>
        </w:tc>
        <w:tc>
          <w:tcPr>
            <w:tcW w:w="1200" w:type="dxa"/>
            <w:tcBorders>
              <w:top w:val="nil"/>
              <w:left w:val="nil"/>
              <w:bottom w:val="single" w:sz="4" w:space="0" w:color="000000"/>
              <w:right w:val="single" w:sz="4" w:space="0" w:color="000000"/>
            </w:tcBorders>
            <w:vAlign w:val="center"/>
            <w:hideMark/>
          </w:tcPr>
          <w:p w:rsidR="00ED662C" w:rsidRDefault="00ED662C">
            <w:pPr>
              <w:spacing w:after="0" w:line="240" w:lineRule="auto"/>
              <w:jc w:val="center"/>
              <w:rPr>
                <w:rFonts w:cs="Calibri"/>
                <w:color w:val="000000"/>
                <w:sz w:val="18"/>
                <w:szCs w:val="18"/>
                <w:lang w:eastAsia="es-ES"/>
              </w:rPr>
            </w:pPr>
            <w:r>
              <w:rPr>
                <w:rFonts w:cs="Calibri"/>
                <w:color w:val="000000"/>
                <w:sz w:val="18"/>
                <w:szCs w:val="18"/>
                <w:lang w:eastAsia="es-ES"/>
              </w:rPr>
              <w:t>Aranjuez (MADRID)</w:t>
            </w:r>
          </w:p>
        </w:tc>
        <w:tc>
          <w:tcPr>
            <w:tcW w:w="134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131.487,99 €</w:t>
            </w:r>
          </w:p>
        </w:tc>
        <w:tc>
          <w:tcPr>
            <w:tcW w:w="1340" w:type="dxa"/>
            <w:tcBorders>
              <w:top w:val="nil"/>
              <w:left w:val="nil"/>
              <w:bottom w:val="single" w:sz="4" w:space="0" w:color="000000"/>
              <w:right w:val="single" w:sz="4" w:space="0" w:color="000000"/>
            </w:tcBorders>
            <w:noWrap/>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89.490,73 €</w:t>
            </w:r>
          </w:p>
        </w:tc>
        <w:tc>
          <w:tcPr>
            <w:tcW w:w="1340" w:type="dxa"/>
            <w:tcBorders>
              <w:top w:val="nil"/>
              <w:left w:val="nil"/>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89.490,73 €</w:t>
            </w:r>
          </w:p>
        </w:tc>
        <w:tc>
          <w:tcPr>
            <w:tcW w:w="1340" w:type="dxa"/>
            <w:tcBorders>
              <w:top w:val="nil"/>
              <w:left w:val="nil"/>
              <w:bottom w:val="single" w:sz="4" w:space="0" w:color="000000"/>
              <w:right w:val="single" w:sz="4" w:space="0" w:color="auto"/>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0,00 €</w:t>
            </w:r>
          </w:p>
        </w:tc>
      </w:tr>
      <w:tr w:rsidR="00ED662C" w:rsidTr="00ED662C">
        <w:trPr>
          <w:trHeight w:val="960"/>
        </w:trPr>
        <w:tc>
          <w:tcPr>
            <w:tcW w:w="382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left"/>
              <w:rPr>
                <w:rFonts w:cs="Calibri"/>
                <w:color w:val="000000"/>
                <w:sz w:val="18"/>
                <w:szCs w:val="18"/>
                <w:lang w:eastAsia="es-ES"/>
              </w:rPr>
            </w:pPr>
            <w:r>
              <w:rPr>
                <w:rFonts w:cs="Calibri"/>
                <w:color w:val="000000"/>
                <w:sz w:val="18"/>
                <w:szCs w:val="18"/>
                <w:lang w:eastAsia="es-ES"/>
              </w:rPr>
              <w:t>Consolidación estructural y restauración de la iglesia, zaguán y torres del convento de las Comendadoras de Santiago, sacristía litúrgica</w:t>
            </w:r>
          </w:p>
        </w:tc>
        <w:tc>
          <w:tcPr>
            <w:tcW w:w="1200" w:type="dxa"/>
            <w:tcBorders>
              <w:top w:val="nil"/>
              <w:left w:val="nil"/>
              <w:bottom w:val="single" w:sz="4" w:space="0" w:color="000000"/>
              <w:right w:val="single" w:sz="4" w:space="0" w:color="000000"/>
            </w:tcBorders>
            <w:vAlign w:val="center"/>
            <w:hideMark/>
          </w:tcPr>
          <w:p w:rsidR="00ED662C" w:rsidRDefault="00ED662C">
            <w:pPr>
              <w:spacing w:after="0" w:line="240" w:lineRule="auto"/>
              <w:jc w:val="center"/>
              <w:rPr>
                <w:rFonts w:cs="Calibri"/>
                <w:color w:val="000000"/>
                <w:sz w:val="18"/>
                <w:szCs w:val="18"/>
                <w:lang w:eastAsia="es-ES"/>
              </w:rPr>
            </w:pPr>
            <w:r>
              <w:rPr>
                <w:rFonts w:cs="Calibri"/>
                <w:color w:val="000000"/>
                <w:sz w:val="18"/>
                <w:szCs w:val="18"/>
                <w:lang w:eastAsia="es-ES"/>
              </w:rPr>
              <w:t>Madrid</w:t>
            </w:r>
          </w:p>
        </w:tc>
        <w:tc>
          <w:tcPr>
            <w:tcW w:w="134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168.986,62 €</w:t>
            </w:r>
          </w:p>
        </w:tc>
        <w:tc>
          <w:tcPr>
            <w:tcW w:w="1340" w:type="dxa"/>
            <w:tcBorders>
              <w:top w:val="nil"/>
              <w:left w:val="nil"/>
              <w:bottom w:val="single" w:sz="4" w:space="0" w:color="000000"/>
              <w:right w:val="single" w:sz="4" w:space="0" w:color="000000"/>
            </w:tcBorders>
            <w:noWrap/>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126.739,96 €</w:t>
            </w:r>
          </w:p>
        </w:tc>
        <w:tc>
          <w:tcPr>
            <w:tcW w:w="1340" w:type="dxa"/>
            <w:tcBorders>
              <w:top w:val="nil"/>
              <w:left w:val="nil"/>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126.739,96 €</w:t>
            </w:r>
          </w:p>
        </w:tc>
        <w:tc>
          <w:tcPr>
            <w:tcW w:w="1340" w:type="dxa"/>
            <w:tcBorders>
              <w:top w:val="nil"/>
              <w:left w:val="nil"/>
              <w:bottom w:val="single" w:sz="4" w:space="0" w:color="000000"/>
              <w:right w:val="single" w:sz="4" w:space="0" w:color="auto"/>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0,00 €</w:t>
            </w:r>
          </w:p>
        </w:tc>
      </w:tr>
      <w:tr w:rsidR="00ED662C" w:rsidTr="00ED662C">
        <w:trPr>
          <w:trHeight w:val="720"/>
        </w:trPr>
        <w:tc>
          <w:tcPr>
            <w:tcW w:w="382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left"/>
              <w:rPr>
                <w:rFonts w:cs="Calibri"/>
                <w:color w:val="000000"/>
                <w:sz w:val="18"/>
                <w:szCs w:val="18"/>
                <w:lang w:eastAsia="es-ES"/>
              </w:rPr>
            </w:pPr>
            <w:r>
              <w:rPr>
                <w:rFonts w:cs="Calibri"/>
                <w:color w:val="000000"/>
                <w:sz w:val="18"/>
                <w:szCs w:val="18"/>
                <w:lang w:eastAsia="es-ES"/>
              </w:rPr>
              <w:t>Restauración del chapitel de la capilla del Cristo de los Dolores de la venerable orden tercera de san Francisco de Asís</w:t>
            </w:r>
          </w:p>
        </w:tc>
        <w:tc>
          <w:tcPr>
            <w:tcW w:w="1200" w:type="dxa"/>
            <w:tcBorders>
              <w:top w:val="nil"/>
              <w:left w:val="nil"/>
              <w:bottom w:val="single" w:sz="4" w:space="0" w:color="000000"/>
              <w:right w:val="single" w:sz="4" w:space="0" w:color="000000"/>
            </w:tcBorders>
            <w:vAlign w:val="center"/>
            <w:hideMark/>
          </w:tcPr>
          <w:p w:rsidR="00ED662C" w:rsidRDefault="00ED662C">
            <w:pPr>
              <w:spacing w:after="0" w:line="240" w:lineRule="auto"/>
              <w:jc w:val="center"/>
              <w:rPr>
                <w:rFonts w:cs="Calibri"/>
                <w:color w:val="000000"/>
                <w:sz w:val="18"/>
                <w:szCs w:val="18"/>
                <w:lang w:eastAsia="es-ES"/>
              </w:rPr>
            </w:pPr>
            <w:r>
              <w:rPr>
                <w:rFonts w:cs="Calibri"/>
                <w:color w:val="000000"/>
                <w:sz w:val="18"/>
                <w:szCs w:val="18"/>
                <w:lang w:eastAsia="es-ES"/>
              </w:rPr>
              <w:t>Madrid</w:t>
            </w:r>
          </w:p>
        </w:tc>
        <w:tc>
          <w:tcPr>
            <w:tcW w:w="134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405.101,20 €</w:t>
            </w:r>
          </w:p>
        </w:tc>
        <w:tc>
          <w:tcPr>
            <w:tcW w:w="1340" w:type="dxa"/>
            <w:tcBorders>
              <w:top w:val="nil"/>
              <w:left w:val="nil"/>
              <w:bottom w:val="single" w:sz="4" w:space="0" w:color="000000"/>
              <w:right w:val="single" w:sz="4" w:space="0" w:color="000000"/>
            </w:tcBorders>
            <w:noWrap/>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303.825,90 €</w:t>
            </w:r>
          </w:p>
        </w:tc>
        <w:tc>
          <w:tcPr>
            <w:tcW w:w="1340" w:type="dxa"/>
            <w:tcBorders>
              <w:top w:val="nil"/>
              <w:left w:val="nil"/>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303.825,90 €</w:t>
            </w:r>
          </w:p>
        </w:tc>
        <w:tc>
          <w:tcPr>
            <w:tcW w:w="1340" w:type="dxa"/>
            <w:tcBorders>
              <w:top w:val="nil"/>
              <w:left w:val="nil"/>
              <w:bottom w:val="single" w:sz="4" w:space="0" w:color="000000"/>
              <w:right w:val="single" w:sz="4" w:space="0" w:color="auto"/>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0,00 €</w:t>
            </w:r>
          </w:p>
        </w:tc>
      </w:tr>
      <w:tr w:rsidR="00ED662C" w:rsidTr="00ED662C">
        <w:trPr>
          <w:trHeight w:val="300"/>
        </w:trPr>
        <w:tc>
          <w:tcPr>
            <w:tcW w:w="5020" w:type="dxa"/>
            <w:gridSpan w:val="2"/>
            <w:tcBorders>
              <w:top w:val="single" w:sz="4" w:space="0" w:color="000000"/>
              <w:left w:val="single" w:sz="4" w:space="0" w:color="auto"/>
              <w:bottom w:val="single" w:sz="4" w:space="0" w:color="auto"/>
              <w:right w:val="single" w:sz="4" w:space="0" w:color="000000"/>
            </w:tcBorders>
            <w:shd w:val="clear" w:color="auto" w:fill="FFE699"/>
            <w:noWrap/>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3 Actuaciones con resolución definitiva</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705.575,81 €</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520.056,59 €</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520.056,59 €</w:t>
            </w:r>
          </w:p>
        </w:tc>
        <w:tc>
          <w:tcPr>
            <w:tcW w:w="1340" w:type="dxa"/>
            <w:tcBorders>
              <w:top w:val="nil"/>
              <w:left w:val="nil"/>
              <w:bottom w:val="single" w:sz="4" w:space="0" w:color="auto"/>
              <w:right w:val="single" w:sz="4" w:space="0" w:color="auto"/>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0,00 €</w:t>
            </w:r>
          </w:p>
        </w:tc>
      </w:tr>
    </w:tbl>
    <w:p w:rsidR="00ED662C" w:rsidRDefault="00ED662C" w:rsidP="00ED662C">
      <w:pPr>
        <w:shd w:val="clear" w:color="auto" w:fill="FFFFFF"/>
        <w:spacing w:after="240"/>
        <w:ind w:left="709"/>
        <w:rPr>
          <w:rFonts w:asciiTheme="minorHAnsi" w:hAnsiTheme="minorHAnsi" w:cs="Arial"/>
          <w:b/>
          <w:szCs w:val="24"/>
        </w:rPr>
      </w:pPr>
    </w:p>
    <w:p w:rsidR="00ED662C" w:rsidRDefault="00ED662C" w:rsidP="00ED662C">
      <w:pPr>
        <w:shd w:val="clear" w:color="auto" w:fill="FFFFFF"/>
        <w:spacing w:after="240"/>
        <w:ind w:left="709"/>
        <w:rPr>
          <w:rFonts w:asciiTheme="minorHAnsi" w:hAnsiTheme="minorHAnsi" w:cs="Arial"/>
          <w:b/>
          <w:szCs w:val="24"/>
        </w:rPr>
      </w:pPr>
      <w:r>
        <w:rPr>
          <w:rFonts w:asciiTheme="minorHAnsi" w:hAnsiTheme="minorHAnsi" w:cs="Arial"/>
          <w:b/>
          <w:szCs w:val="24"/>
        </w:rPr>
        <w:t>OTRAS ACTUACIONES EN TRAMITACIÓN</w:t>
      </w:r>
    </w:p>
    <w:p w:rsidR="00ED662C" w:rsidRDefault="00ED662C" w:rsidP="00ED662C">
      <w:pPr>
        <w:shd w:val="clear" w:color="auto" w:fill="FFFFFF"/>
        <w:spacing w:after="240"/>
        <w:ind w:left="709"/>
        <w:rPr>
          <w:rFonts w:asciiTheme="minorHAnsi" w:hAnsiTheme="minorHAnsi" w:cs="Arial"/>
          <w:szCs w:val="24"/>
        </w:rPr>
      </w:pPr>
      <w:r>
        <w:rPr>
          <w:rFonts w:asciiTheme="minorHAnsi" w:hAnsiTheme="minorHAnsi" w:cs="Arial"/>
          <w:szCs w:val="24"/>
        </w:rPr>
        <w:lastRenderedPageBreak/>
        <w:t xml:space="preserve">Por otra parte, y </w:t>
      </w:r>
      <w:r>
        <w:rPr>
          <w:rFonts w:asciiTheme="minorHAnsi" w:hAnsiTheme="minorHAnsi" w:cs="Arial"/>
          <w:b/>
          <w:szCs w:val="24"/>
        </w:rPr>
        <w:t>derivadas de ayudas concedidas fuera de la convocatoria de julio de 2017</w:t>
      </w:r>
      <w:r>
        <w:rPr>
          <w:rFonts w:asciiTheme="minorHAnsi" w:hAnsiTheme="minorHAnsi" w:cs="Arial"/>
          <w:szCs w:val="24"/>
        </w:rPr>
        <w:t>, están en tramitación las siguientes actuaciones:</w:t>
      </w:r>
    </w:p>
    <w:tbl>
      <w:tblPr>
        <w:tblW w:w="10380" w:type="dxa"/>
        <w:tblCellMar>
          <w:left w:w="70" w:type="dxa"/>
          <w:right w:w="70" w:type="dxa"/>
        </w:tblCellMar>
        <w:tblLook w:val="04A0" w:firstRow="1" w:lastRow="0" w:firstColumn="1" w:lastColumn="0" w:noHBand="0" w:noVBand="1"/>
      </w:tblPr>
      <w:tblGrid>
        <w:gridCol w:w="3820"/>
        <w:gridCol w:w="1200"/>
        <w:gridCol w:w="1340"/>
        <w:gridCol w:w="1340"/>
        <w:gridCol w:w="1340"/>
        <w:gridCol w:w="1340"/>
      </w:tblGrid>
      <w:tr w:rsidR="00ED662C" w:rsidTr="00ED662C">
        <w:trPr>
          <w:trHeight w:val="480"/>
        </w:trPr>
        <w:tc>
          <w:tcPr>
            <w:tcW w:w="3820" w:type="dxa"/>
            <w:tcBorders>
              <w:top w:val="single" w:sz="4" w:space="0" w:color="auto"/>
              <w:left w:val="single" w:sz="4" w:space="0" w:color="auto"/>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Actuación</w:t>
            </w:r>
          </w:p>
        </w:tc>
        <w:tc>
          <w:tcPr>
            <w:tcW w:w="120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Localización</w:t>
            </w:r>
          </w:p>
        </w:tc>
        <w:tc>
          <w:tcPr>
            <w:tcW w:w="1340" w:type="dxa"/>
            <w:tcBorders>
              <w:top w:val="single" w:sz="4" w:space="0" w:color="auto"/>
              <w:left w:val="single" w:sz="4" w:space="0" w:color="auto"/>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Total Presupuesto</w:t>
            </w:r>
          </w:p>
        </w:tc>
        <w:tc>
          <w:tcPr>
            <w:tcW w:w="134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Aportación Fomento</w:t>
            </w:r>
          </w:p>
        </w:tc>
        <w:tc>
          <w:tcPr>
            <w:tcW w:w="1340" w:type="dxa"/>
            <w:tcBorders>
              <w:top w:val="single" w:sz="4" w:space="0" w:color="auto"/>
              <w:left w:val="nil"/>
              <w:bottom w:val="single" w:sz="4" w:space="0" w:color="000000"/>
              <w:right w:val="single" w:sz="4" w:space="0" w:color="000000"/>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Anualidad 2018</w:t>
            </w:r>
          </w:p>
        </w:tc>
        <w:tc>
          <w:tcPr>
            <w:tcW w:w="1340" w:type="dxa"/>
            <w:tcBorders>
              <w:top w:val="single" w:sz="4" w:space="0" w:color="auto"/>
              <w:left w:val="nil"/>
              <w:bottom w:val="single" w:sz="4" w:space="0" w:color="000000"/>
              <w:right w:val="single" w:sz="4" w:space="0" w:color="auto"/>
            </w:tcBorders>
            <w:shd w:val="clear" w:color="auto" w:fill="FFE699"/>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Anualidad 2019</w:t>
            </w:r>
          </w:p>
        </w:tc>
      </w:tr>
      <w:tr w:rsidR="00ED662C" w:rsidTr="00ED662C">
        <w:trPr>
          <w:trHeight w:val="720"/>
        </w:trPr>
        <w:tc>
          <w:tcPr>
            <w:tcW w:w="382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left"/>
              <w:rPr>
                <w:rFonts w:cs="Calibri"/>
                <w:color w:val="000000"/>
                <w:sz w:val="18"/>
                <w:szCs w:val="18"/>
                <w:lang w:eastAsia="es-ES"/>
              </w:rPr>
            </w:pPr>
            <w:r>
              <w:rPr>
                <w:rFonts w:cs="Calibri"/>
                <w:color w:val="000000"/>
                <w:sz w:val="18"/>
                <w:szCs w:val="18"/>
                <w:lang w:eastAsia="es-ES"/>
              </w:rPr>
              <w:t>Rehabilitación de la Fundación Ortega y Gasset - Gregorio Marañón, Fase II: Edificio Arniches y nueva sala polivalente</w:t>
            </w:r>
          </w:p>
        </w:tc>
        <w:tc>
          <w:tcPr>
            <w:tcW w:w="1200" w:type="dxa"/>
            <w:tcBorders>
              <w:top w:val="nil"/>
              <w:left w:val="nil"/>
              <w:bottom w:val="single" w:sz="4" w:space="0" w:color="000000"/>
              <w:right w:val="single" w:sz="4" w:space="0" w:color="000000"/>
            </w:tcBorders>
            <w:vAlign w:val="center"/>
            <w:hideMark/>
          </w:tcPr>
          <w:p w:rsidR="00ED662C" w:rsidRDefault="00ED662C">
            <w:pPr>
              <w:spacing w:after="0" w:line="240" w:lineRule="auto"/>
              <w:jc w:val="center"/>
              <w:rPr>
                <w:rFonts w:cs="Calibri"/>
                <w:color w:val="000000"/>
                <w:sz w:val="18"/>
                <w:szCs w:val="18"/>
                <w:lang w:eastAsia="es-ES"/>
              </w:rPr>
            </w:pPr>
            <w:r>
              <w:rPr>
                <w:rFonts w:cs="Calibri"/>
                <w:color w:val="000000"/>
                <w:sz w:val="18"/>
                <w:szCs w:val="18"/>
                <w:lang w:eastAsia="es-ES"/>
              </w:rPr>
              <w:t>Madrid</w:t>
            </w:r>
          </w:p>
        </w:tc>
        <w:tc>
          <w:tcPr>
            <w:tcW w:w="134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3.471.598,00 €</w:t>
            </w:r>
          </w:p>
        </w:tc>
        <w:tc>
          <w:tcPr>
            <w:tcW w:w="1340" w:type="dxa"/>
            <w:tcBorders>
              <w:top w:val="nil"/>
              <w:left w:val="nil"/>
              <w:bottom w:val="single" w:sz="4" w:space="0" w:color="000000"/>
              <w:right w:val="single" w:sz="4" w:space="0" w:color="000000"/>
            </w:tcBorders>
            <w:noWrap/>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2.200.000,00 €</w:t>
            </w:r>
          </w:p>
        </w:tc>
        <w:tc>
          <w:tcPr>
            <w:tcW w:w="1340" w:type="dxa"/>
            <w:tcBorders>
              <w:top w:val="nil"/>
              <w:left w:val="nil"/>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1.031.143,00 €</w:t>
            </w:r>
          </w:p>
        </w:tc>
        <w:tc>
          <w:tcPr>
            <w:tcW w:w="1340" w:type="dxa"/>
            <w:tcBorders>
              <w:top w:val="nil"/>
              <w:left w:val="nil"/>
              <w:bottom w:val="single" w:sz="4" w:space="0" w:color="000000"/>
              <w:right w:val="single" w:sz="4" w:space="0" w:color="auto"/>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1.168.857,00 €</w:t>
            </w:r>
          </w:p>
        </w:tc>
      </w:tr>
      <w:tr w:rsidR="00ED662C" w:rsidTr="00ED662C">
        <w:trPr>
          <w:trHeight w:val="600"/>
        </w:trPr>
        <w:tc>
          <w:tcPr>
            <w:tcW w:w="382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left"/>
              <w:rPr>
                <w:rFonts w:cs="Calibri"/>
                <w:color w:val="000000"/>
                <w:sz w:val="18"/>
                <w:szCs w:val="18"/>
                <w:lang w:eastAsia="es-ES"/>
              </w:rPr>
            </w:pPr>
            <w:r>
              <w:rPr>
                <w:rFonts w:cs="Calibri"/>
                <w:color w:val="000000"/>
                <w:sz w:val="18"/>
                <w:szCs w:val="18"/>
                <w:lang w:eastAsia="es-ES"/>
              </w:rPr>
              <w:t>Obras en el Teatro Real</w:t>
            </w:r>
          </w:p>
        </w:tc>
        <w:tc>
          <w:tcPr>
            <w:tcW w:w="1200" w:type="dxa"/>
            <w:tcBorders>
              <w:top w:val="nil"/>
              <w:left w:val="nil"/>
              <w:bottom w:val="single" w:sz="4" w:space="0" w:color="000000"/>
              <w:right w:val="single" w:sz="4" w:space="0" w:color="000000"/>
            </w:tcBorders>
            <w:vAlign w:val="center"/>
            <w:hideMark/>
          </w:tcPr>
          <w:p w:rsidR="00ED662C" w:rsidRDefault="00ED662C">
            <w:pPr>
              <w:spacing w:after="0" w:line="240" w:lineRule="auto"/>
              <w:jc w:val="center"/>
              <w:rPr>
                <w:rFonts w:cs="Calibri"/>
                <w:color w:val="000000"/>
                <w:sz w:val="18"/>
                <w:szCs w:val="18"/>
                <w:lang w:eastAsia="es-ES"/>
              </w:rPr>
            </w:pPr>
            <w:r>
              <w:rPr>
                <w:rFonts w:cs="Calibri"/>
                <w:color w:val="000000"/>
                <w:sz w:val="18"/>
                <w:szCs w:val="18"/>
                <w:lang w:eastAsia="es-ES"/>
              </w:rPr>
              <w:t>Madrid</w:t>
            </w:r>
          </w:p>
        </w:tc>
        <w:tc>
          <w:tcPr>
            <w:tcW w:w="134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4.353.000,00 €</w:t>
            </w:r>
          </w:p>
        </w:tc>
        <w:tc>
          <w:tcPr>
            <w:tcW w:w="1340" w:type="dxa"/>
            <w:tcBorders>
              <w:top w:val="nil"/>
              <w:left w:val="nil"/>
              <w:bottom w:val="single" w:sz="4" w:space="0" w:color="000000"/>
              <w:right w:val="single" w:sz="4" w:space="0" w:color="000000"/>
            </w:tcBorders>
            <w:noWrap/>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1.000.000,00 €</w:t>
            </w:r>
          </w:p>
        </w:tc>
        <w:tc>
          <w:tcPr>
            <w:tcW w:w="1340" w:type="dxa"/>
            <w:tcBorders>
              <w:top w:val="nil"/>
              <w:left w:val="nil"/>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1.000.000,00 €</w:t>
            </w:r>
          </w:p>
        </w:tc>
        <w:tc>
          <w:tcPr>
            <w:tcW w:w="1340" w:type="dxa"/>
            <w:tcBorders>
              <w:top w:val="nil"/>
              <w:left w:val="nil"/>
              <w:bottom w:val="single" w:sz="4" w:space="0" w:color="000000"/>
              <w:right w:val="single" w:sz="4" w:space="0" w:color="auto"/>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0,00 €</w:t>
            </w:r>
          </w:p>
        </w:tc>
      </w:tr>
      <w:tr w:rsidR="00ED662C" w:rsidTr="00ED662C">
        <w:trPr>
          <w:trHeight w:val="720"/>
        </w:trPr>
        <w:tc>
          <w:tcPr>
            <w:tcW w:w="382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left"/>
              <w:rPr>
                <w:rFonts w:cs="Calibri"/>
                <w:color w:val="000000"/>
                <w:sz w:val="18"/>
                <w:szCs w:val="18"/>
                <w:lang w:eastAsia="es-ES"/>
              </w:rPr>
            </w:pPr>
            <w:r>
              <w:rPr>
                <w:rFonts w:cs="Calibri"/>
                <w:color w:val="000000"/>
                <w:sz w:val="18"/>
                <w:szCs w:val="18"/>
                <w:lang w:eastAsia="es-ES"/>
              </w:rPr>
              <w:t>Adecuación paisajistica y funcional del entorno del Bien de Interés Cultural en el Monasterio de El Paular</w:t>
            </w:r>
          </w:p>
        </w:tc>
        <w:tc>
          <w:tcPr>
            <w:tcW w:w="1200" w:type="dxa"/>
            <w:tcBorders>
              <w:top w:val="nil"/>
              <w:left w:val="nil"/>
              <w:bottom w:val="single" w:sz="4" w:space="0" w:color="000000"/>
              <w:right w:val="single" w:sz="4" w:space="0" w:color="000000"/>
            </w:tcBorders>
            <w:vAlign w:val="center"/>
            <w:hideMark/>
          </w:tcPr>
          <w:p w:rsidR="00ED662C" w:rsidRDefault="00ED662C">
            <w:pPr>
              <w:spacing w:after="0" w:line="240" w:lineRule="auto"/>
              <w:jc w:val="center"/>
              <w:rPr>
                <w:rFonts w:cs="Calibri"/>
                <w:color w:val="000000"/>
                <w:sz w:val="18"/>
                <w:szCs w:val="18"/>
                <w:lang w:eastAsia="es-ES"/>
              </w:rPr>
            </w:pPr>
            <w:r>
              <w:rPr>
                <w:rFonts w:cs="Calibri"/>
                <w:color w:val="000000"/>
                <w:sz w:val="18"/>
                <w:szCs w:val="18"/>
                <w:lang w:eastAsia="es-ES"/>
              </w:rPr>
              <w:t>Rascafría (MADRID)</w:t>
            </w:r>
          </w:p>
        </w:tc>
        <w:tc>
          <w:tcPr>
            <w:tcW w:w="1340" w:type="dxa"/>
            <w:tcBorders>
              <w:top w:val="nil"/>
              <w:left w:val="single" w:sz="4" w:space="0" w:color="auto"/>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5.759.600,00 €</w:t>
            </w:r>
          </w:p>
        </w:tc>
        <w:tc>
          <w:tcPr>
            <w:tcW w:w="1340" w:type="dxa"/>
            <w:tcBorders>
              <w:top w:val="nil"/>
              <w:left w:val="nil"/>
              <w:bottom w:val="single" w:sz="4" w:space="0" w:color="000000"/>
              <w:right w:val="single" w:sz="4" w:space="0" w:color="000000"/>
            </w:tcBorders>
            <w:noWrap/>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1.824.000,00 €</w:t>
            </w:r>
          </w:p>
        </w:tc>
        <w:tc>
          <w:tcPr>
            <w:tcW w:w="1340" w:type="dxa"/>
            <w:tcBorders>
              <w:top w:val="nil"/>
              <w:left w:val="nil"/>
              <w:bottom w:val="single" w:sz="4" w:space="0" w:color="000000"/>
              <w:right w:val="single" w:sz="4" w:space="0" w:color="000000"/>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791.000,00 €</w:t>
            </w:r>
          </w:p>
        </w:tc>
        <w:tc>
          <w:tcPr>
            <w:tcW w:w="1340" w:type="dxa"/>
            <w:tcBorders>
              <w:top w:val="nil"/>
              <w:left w:val="nil"/>
              <w:bottom w:val="single" w:sz="4" w:space="0" w:color="000000"/>
              <w:right w:val="single" w:sz="4" w:space="0" w:color="auto"/>
            </w:tcBorders>
            <w:vAlign w:val="center"/>
            <w:hideMark/>
          </w:tcPr>
          <w:p w:rsidR="00ED662C" w:rsidRDefault="00ED662C">
            <w:pPr>
              <w:spacing w:after="0" w:line="240" w:lineRule="auto"/>
              <w:jc w:val="right"/>
              <w:rPr>
                <w:rFonts w:cs="Calibri"/>
                <w:color w:val="000000"/>
                <w:sz w:val="18"/>
                <w:szCs w:val="18"/>
                <w:lang w:eastAsia="es-ES"/>
              </w:rPr>
            </w:pPr>
            <w:r>
              <w:rPr>
                <w:rFonts w:cs="Calibri"/>
                <w:color w:val="000000"/>
                <w:sz w:val="18"/>
                <w:szCs w:val="18"/>
                <w:lang w:eastAsia="es-ES"/>
              </w:rPr>
              <w:t>1.033.000,00 €</w:t>
            </w:r>
          </w:p>
        </w:tc>
      </w:tr>
      <w:tr w:rsidR="00ED662C" w:rsidTr="00ED662C">
        <w:trPr>
          <w:trHeight w:val="300"/>
        </w:trPr>
        <w:tc>
          <w:tcPr>
            <w:tcW w:w="5020" w:type="dxa"/>
            <w:gridSpan w:val="2"/>
            <w:tcBorders>
              <w:top w:val="single" w:sz="4" w:space="0" w:color="000000"/>
              <w:left w:val="single" w:sz="4" w:space="0" w:color="auto"/>
              <w:bottom w:val="single" w:sz="4" w:space="0" w:color="auto"/>
              <w:right w:val="single" w:sz="4" w:space="0" w:color="000000"/>
            </w:tcBorders>
            <w:shd w:val="clear" w:color="auto" w:fill="FFE699"/>
            <w:noWrap/>
            <w:vAlign w:val="center"/>
            <w:hideMark/>
          </w:tcPr>
          <w:p w:rsidR="00ED662C" w:rsidRDefault="00ED662C">
            <w:pPr>
              <w:spacing w:after="0" w:line="240" w:lineRule="auto"/>
              <w:jc w:val="center"/>
              <w:rPr>
                <w:rFonts w:cs="Calibri"/>
                <w:b/>
                <w:bCs/>
                <w:color w:val="000000"/>
                <w:sz w:val="18"/>
                <w:szCs w:val="18"/>
                <w:lang w:eastAsia="es-ES"/>
              </w:rPr>
            </w:pPr>
            <w:r>
              <w:rPr>
                <w:rFonts w:cs="Calibri"/>
                <w:b/>
                <w:bCs/>
                <w:color w:val="000000"/>
                <w:sz w:val="18"/>
                <w:szCs w:val="18"/>
                <w:lang w:eastAsia="es-ES"/>
              </w:rPr>
              <w:t>3 Actuaciones en tramitación</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13.584.198,00 €</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5.024.000,00 €</w:t>
            </w:r>
          </w:p>
        </w:tc>
        <w:tc>
          <w:tcPr>
            <w:tcW w:w="1340" w:type="dxa"/>
            <w:tcBorders>
              <w:top w:val="nil"/>
              <w:left w:val="nil"/>
              <w:bottom w:val="single" w:sz="4" w:space="0" w:color="auto"/>
              <w:right w:val="single" w:sz="4" w:space="0" w:color="000000"/>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2.822.143,00 €</w:t>
            </w:r>
          </w:p>
        </w:tc>
        <w:tc>
          <w:tcPr>
            <w:tcW w:w="1340" w:type="dxa"/>
            <w:tcBorders>
              <w:top w:val="nil"/>
              <w:left w:val="nil"/>
              <w:bottom w:val="single" w:sz="4" w:space="0" w:color="auto"/>
              <w:right w:val="single" w:sz="4" w:space="0" w:color="auto"/>
            </w:tcBorders>
            <w:shd w:val="clear" w:color="auto" w:fill="FFE699"/>
            <w:noWrap/>
            <w:vAlign w:val="center"/>
            <w:hideMark/>
          </w:tcPr>
          <w:p w:rsidR="00ED662C" w:rsidRDefault="00ED662C">
            <w:pPr>
              <w:spacing w:after="0" w:line="240" w:lineRule="auto"/>
              <w:jc w:val="right"/>
              <w:rPr>
                <w:rFonts w:cs="Calibri"/>
                <w:b/>
                <w:bCs/>
                <w:color w:val="000000"/>
                <w:sz w:val="18"/>
                <w:szCs w:val="18"/>
                <w:lang w:eastAsia="es-ES"/>
              </w:rPr>
            </w:pPr>
            <w:r>
              <w:rPr>
                <w:rFonts w:cs="Calibri"/>
                <w:b/>
                <w:bCs/>
                <w:color w:val="000000"/>
                <w:sz w:val="18"/>
                <w:szCs w:val="18"/>
                <w:lang w:eastAsia="es-ES"/>
              </w:rPr>
              <w:t>2.201.857,00 €</w:t>
            </w:r>
          </w:p>
        </w:tc>
      </w:tr>
    </w:tbl>
    <w:p w:rsidR="00ED662C" w:rsidRDefault="00ED662C" w:rsidP="00ED662C">
      <w:pPr>
        <w:shd w:val="clear" w:color="auto" w:fill="FFFFFF"/>
        <w:spacing w:after="240"/>
        <w:ind w:left="709"/>
        <w:rPr>
          <w:rFonts w:asciiTheme="minorHAnsi" w:hAnsiTheme="minorHAnsi" w:cs="Arial"/>
          <w:szCs w:val="24"/>
        </w:rPr>
      </w:pPr>
    </w:p>
    <w:p w:rsidR="00ED662C" w:rsidRDefault="00ED662C" w:rsidP="00ED662C">
      <w:pPr>
        <w:shd w:val="clear" w:color="auto" w:fill="FFFFFF"/>
        <w:spacing w:after="240"/>
        <w:ind w:left="709"/>
        <w:rPr>
          <w:rFonts w:asciiTheme="minorHAnsi" w:hAnsiTheme="minorHAnsi" w:cs="Arial"/>
          <w:b/>
          <w:szCs w:val="24"/>
        </w:rPr>
      </w:pPr>
      <w:r>
        <w:rPr>
          <w:rFonts w:asciiTheme="minorHAnsi" w:hAnsiTheme="minorHAnsi" w:cs="Arial"/>
          <w:b/>
          <w:szCs w:val="24"/>
        </w:rPr>
        <w:t>NOTA INFORMATIVA:</w:t>
      </w:r>
    </w:p>
    <w:p w:rsidR="00ED662C" w:rsidRDefault="00ED662C" w:rsidP="00ED662C">
      <w:pPr>
        <w:shd w:val="clear" w:color="auto" w:fill="FFFFFF"/>
        <w:spacing w:after="240"/>
        <w:ind w:left="709"/>
        <w:rPr>
          <w:rFonts w:asciiTheme="minorHAnsi" w:hAnsiTheme="minorHAnsi" w:cs="Arial"/>
          <w:szCs w:val="24"/>
        </w:rPr>
      </w:pPr>
      <w:r>
        <w:rPr>
          <w:rFonts w:asciiTheme="minorHAnsi" w:hAnsiTheme="minorHAnsi" w:cs="Arial"/>
          <w:szCs w:val="24"/>
        </w:rPr>
        <w:t>Además de lo expuesto anteriormente, el 30 de mayo de 2018 se dictó orden por la que se Convocan ayudas para financiar nuevas actuaciones del Programa de 1,5% Cultural del Ministerio de Fomento (publicada en BOE de 5 de junio de 2018), estando previsto que se resuelva a lo largo del presente ejercicio 2019, con la siguiente distribución de anualidades:</w:t>
      </w:r>
    </w:p>
    <w:tbl>
      <w:tblPr>
        <w:tblStyle w:val="Tablaconcuadrcula"/>
        <w:tblW w:w="0" w:type="auto"/>
        <w:jc w:val="center"/>
        <w:tblLook w:val="04A0" w:firstRow="1" w:lastRow="0" w:firstColumn="1" w:lastColumn="0" w:noHBand="0" w:noVBand="1"/>
      </w:tblPr>
      <w:tblGrid>
        <w:gridCol w:w="2275"/>
        <w:gridCol w:w="2224"/>
        <w:gridCol w:w="2205"/>
      </w:tblGrid>
      <w:tr w:rsidR="00ED662C" w:rsidTr="00ED662C">
        <w:trPr>
          <w:trHeight w:val="455"/>
          <w:jc w:val="center"/>
        </w:trPr>
        <w:tc>
          <w:tcPr>
            <w:tcW w:w="22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D662C" w:rsidRDefault="00ED662C">
            <w:pPr>
              <w:spacing w:after="0" w:line="240" w:lineRule="auto"/>
              <w:jc w:val="center"/>
              <w:rPr>
                <w:rFonts w:asciiTheme="minorHAnsi" w:hAnsiTheme="minorHAnsi" w:cs="Arial"/>
                <w:b/>
                <w:szCs w:val="24"/>
              </w:rPr>
            </w:pPr>
            <w:r>
              <w:rPr>
                <w:rFonts w:asciiTheme="minorHAnsi" w:hAnsiTheme="minorHAnsi" w:cs="Arial"/>
                <w:b/>
                <w:szCs w:val="24"/>
              </w:rPr>
              <w:t>EJERCICIO 2019</w:t>
            </w:r>
          </w:p>
        </w:tc>
        <w:tc>
          <w:tcPr>
            <w:tcW w:w="222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D662C" w:rsidRDefault="00ED662C">
            <w:pPr>
              <w:spacing w:after="0" w:line="240" w:lineRule="auto"/>
              <w:jc w:val="center"/>
              <w:rPr>
                <w:rFonts w:asciiTheme="minorHAnsi" w:hAnsiTheme="minorHAnsi" w:cs="Arial"/>
                <w:b/>
                <w:szCs w:val="24"/>
              </w:rPr>
            </w:pPr>
            <w:r>
              <w:rPr>
                <w:rFonts w:asciiTheme="minorHAnsi" w:hAnsiTheme="minorHAnsi" w:cs="Arial"/>
                <w:b/>
                <w:szCs w:val="24"/>
              </w:rPr>
              <w:t>EJERCICIO 2020</w:t>
            </w:r>
          </w:p>
        </w:tc>
        <w:tc>
          <w:tcPr>
            <w:tcW w:w="220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ED662C" w:rsidRDefault="00ED662C">
            <w:pPr>
              <w:spacing w:after="0" w:line="240" w:lineRule="auto"/>
              <w:jc w:val="center"/>
              <w:rPr>
                <w:rFonts w:asciiTheme="minorHAnsi" w:hAnsiTheme="minorHAnsi" w:cs="Arial"/>
                <w:b/>
                <w:szCs w:val="24"/>
              </w:rPr>
            </w:pPr>
            <w:r>
              <w:rPr>
                <w:rFonts w:asciiTheme="minorHAnsi" w:hAnsiTheme="minorHAnsi" w:cs="Arial"/>
                <w:b/>
                <w:szCs w:val="24"/>
              </w:rPr>
              <w:t>TOTAL</w:t>
            </w:r>
          </w:p>
        </w:tc>
      </w:tr>
      <w:tr w:rsidR="00ED662C" w:rsidTr="00ED662C">
        <w:trPr>
          <w:trHeight w:val="547"/>
          <w:jc w:val="center"/>
        </w:trPr>
        <w:tc>
          <w:tcPr>
            <w:tcW w:w="2275" w:type="dxa"/>
            <w:tcBorders>
              <w:top w:val="single" w:sz="4" w:space="0" w:color="auto"/>
              <w:left w:val="single" w:sz="4" w:space="0" w:color="auto"/>
              <w:bottom w:val="single" w:sz="4" w:space="0" w:color="auto"/>
              <w:right w:val="single" w:sz="4" w:space="0" w:color="auto"/>
            </w:tcBorders>
            <w:vAlign w:val="center"/>
            <w:hideMark/>
          </w:tcPr>
          <w:p w:rsidR="00ED662C" w:rsidRDefault="00ED662C">
            <w:pPr>
              <w:spacing w:after="0" w:line="240" w:lineRule="auto"/>
              <w:jc w:val="center"/>
              <w:rPr>
                <w:rFonts w:asciiTheme="minorHAnsi" w:hAnsiTheme="minorHAnsi" w:cs="Arial"/>
                <w:b/>
                <w:szCs w:val="24"/>
              </w:rPr>
            </w:pPr>
            <w:r>
              <w:rPr>
                <w:rFonts w:asciiTheme="minorHAnsi" w:hAnsiTheme="minorHAnsi" w:cs="Arial"/>
                <w:b/>
                <w:szCs w:val="24"/>
              </w:rPr>
              <w:t>20.531.287,79</w:t>
            </w:r>
          </w:p>
        </w:tc>
        <w:tc>
          <w:tcPr>
            <w:tcW w:w="2224" w:type="dxa"/>
            <w:tcBorders>
              <w:top w:val="single" w:sz="4" w:space="0" w:color="auto"/>
              <w:left w:val="single" w:sz="4" w:space="0" w:color="auto"/>
              <w:bottom w:val="single" w:sz="4" w:space="0" w:color="auto"/>
              <w:right w:val="single" w:sz="4" w:space="0" w:color="auto"/>
            </w:tcBorders>
            <w:vAlign w:val="center"/>
            <w:hideMark/>
          </w:tcPr>
          <w:p w:rsidR="00ED662C" w:rsidRDefault="00ED662C">
            <w:pPr>
              <w:spacing w:after="0" w:line="240" w:lineRule="auto"/>
              <w:jc w:val="center"/>
              <w:rPr>
                <w:rFonts w:asciiTheme="minorHAnsi" w:hAnsiTheme="minorHAnsi" w:cs="Arial"/>
                <w:b/>
                <w:szCs w:val="24"/>
              </w:rPr>
            </w:pPr>
            <w:r>
              <w:rPr>
                <w:rFonts w:asciiTheme="minorHAnsi" w:hAnsiTheme="minorHAnsi" w:cs="Arial"/>
                <w:b/>
                <w:szCs w:val="24"/>
              </w:rPr>
              <w:t>30.468.712,21</w:t>
            </w:r>
          </w:p>
        </w:tc>
        <w:tc>
          <w:tcPr>
            <w:tcW w:w="2205" w:type="dxa"/>
            <w:tcBorders>
              <w:top w:val="single" w:sz="4" w:space="0" w:color="auto"/>
              <w:left w:val="single" w:sz="4" w:space="0" w:color="auto"/>
              <w:bottom w:val="single" w:sz="4" w:space="0" w:color="auto"/>
              <w:right w:val="single" w:sz="4" w:space="0" w:color="auto"/>
            </w:tcBorders>
            <w:vAlign w:val="center"/>
            <w:hideMark/>
          </w:tcPr>
          <w:p w:rsidR="00ED662C" w:rsidRDefault="00ED662C">
            <w:pPr>
              <w:spacing w:after="0" w:line="240" w:lineRule="auto"/>
              <w:jc w:val="center"/>
              <w:rPr>
                <w:rFonts w:asciiTheme="minorHAnsi" w:hAnsiTheme="minorHAnsi" w:cs="Arial"/>
                <w:b/>
                <w:szCs w:val="24"/>
              </w:rPr>
            </w:pPr>
            <w:r>
              <w:rPr>
                <w:rFonts w:asciiTheme="minorHAnsi" w:hAnsiTheme="minorHAnsi" w:cs="Arial"/>
                <w:b/>
                <w:szCs w:val="24"/>
              </w:rPr>
              <w:t>51.000.000,00</w:t>
            </w:r>
          </w:p>
        </w:tc>
      </w:tr>
    </w:tbl>
    <w:p w:rsidR="001E65DB" w:rsidRDefault="001E65DB" w:rsidP="00AF4BA9">
      <w:pPr>
        <w:pStyle w:val="Ttulo3"/>
        <w:ind w:left="0" w:firstLine="0"/>
      </w:pPr>
    </w:p>
    <w:p w:rsidR="001E65DB" w:rsidRDefault="005B73D9" w:rsidP="001E65DB">
      <w:pPr>
        <w:pStyle w:val="Ttulo1"/>
        <w:numPr>
          <w:ilvl w:val="0"/>
          <w:numId w:val="26"/>
        </w:numPr>
      </w:pPr>
      <w:r>
        <w:t xml:space="preserve">OSP y </w:t>
      </w:r>
      <w:r w:rsidR="001E65DB" w:rsidRPr="001E65DB">
        <w:t>Subvenciones al Transporte</w:t>
      </w:r>
    </w:p>
    <w:p w:rsidR="00CC6792" w:rsidRPr="00986C77" w:rsidRDefault="00CC6792" w:rsidP="00CC6792">
      <w:pPr>
        <w:pStyle w:val="Prrafodelista"/>
        <w:numPr>
          <w:ilvl w:val="0"/>
          <w:numId w:val="13"/>
        </w:numPr>
      </w:pPr>
      <w:r>
        <w:t xml:space="preserve">El Ministerio destinará en 2019 </w:t>
      </w:r>
      <w:r w:rsidRPr="00CC6792">
        <w:rPr>
          <w:b/>
        </w:rPr>
        <w:t>más de 167,1 M€ para la financiación de los servicios ferroviarios declarados OSP en Madrid.</w:t>
      </w:r>
    </w:p>
    <w:p w:rsidR="00CC6792" w:rsidRDefault="00CC6792" w:rsidP="00CC6792">
      <w:pPr>
        <w:pStyle w:val="Prrafodelista"/>
        <w:ind w:left="567"/>
      </w:pPr>
    </w:p>
    <w:p w:rsidR="00CC6792" w:rsidRDefault="00CC6792" w:rsidP="00CC6792">
      <w:pPr>
        <w:pStyle w:val="Prrafodelista"/>
        <w:numPr>
          <w:ilvl w:val="0"/>
          <w:numId w:val="13"/>
        </w:numPr>
      </w:pPr>
      <w:r w:rsidRPr="0069549B">
        <w:t xml:space="preserve">Madrid, junto con Cataluña y Andalucía, forma parte de las comunidades autónomas cuyos </w:t>
      </w:r>
      <w:r w:rsidRPr="00CC6792">
        <w:rPr>
          <w:b/>
        </w:rPr>
        <w:t>servicios ferroviarios de Cercanías y Media Distancia declarados Obligación de Servicio Público por la Administración General del Estado reciben más financiación en los PGE</w:t>
      </w:r>
      <w:r w:rsidRPr="0069549B">
        <w:t>.</w:t>
      </w:r>
    </w:p>
    <w:p w:rsidR="00CC6792" w:rsidRDefault="00CC6792" w:rsidP="00CC6792">
      <w:pPr>
        <w:pStyle w:val="Prrafodelista"/>
      </w:pPr>
    </w:p>
    <w:p w:rsidR="00CC6792" w:rsidRPr="00CC6792" w:rsidRDefault="00CC6792" w:rsidP="00CC6792">
      <w:pPr>
        <w:pStyle w:val="Prrafodelista"/>
        <w:numPr>
          <w:ilvl w:val="0"/>
          <w:numId w:val="13"/>
        </w:numPr>
        <w:rPr>
          <w:b/>
        </w:rPr>
      </w:pPr>
      <w:r w:rsidRPr="005311D6">
        <w:t xml:space="preserve">Los PGE garantizan la prestación de los servicios OSP al asumir el Ministerio de Fomento la financiación de su déficit de explotación, incluyendo los nuevos servicios recogidos en el reciente contrato con RENFE, que </w:t>
      </w:r>
      <w:r w:rsidRPr="00CC6792">
        <w:rPr>
          <w:b/>
        </w:rPr>
        <w:t>en Madrid suponen la ampliación de la frecuencia de determinadas líneas de Cercanías.</w:t>
      </w:r>
    </w:p>
    <w:p w:rsidR="00CC6792" w:rsidRPr="001E65DB" w:rsidRDefault="00CC6792" w:rsidP="001E65DB">
      <w:pPr>
        <w:rPr>
          <w:lang w:eastAsia="es-ES"/>
        </w:rPr>
      </w:pPr>
    </w:p>
    <w:sectPr w:rsidR="00CC6792" w:rsidRPr="001E65DB" w:rsidSect="00750BD5">
      <w:headerReference w:type="default" r:id="rId8"/>
      <w:footerReference w:type="default" r:id="rId9"/>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D0F" w:rsidRDefault="00D10D0F" w:rsidP="00C70AE1">
      <w:r>
        <w:separator/>
      </w:r>
    </w:p>
  </w:endnote>
  <w:endnote w:type="continuationSeparator" w:id="0">
    <w:p w:rsidR="00D10D0F" w:rsidRDefault="00D10D0F" w:rsidP="00C7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C4" w:rsidRDefault="00844955" w:rsidP="00561630">
    <w:pPr>
      <w:pStyle w:val="Piedepgina"/>
      <w:tabs>
        <w:tab w:val="clear" w:pos="4252"/>
        <w:tab w:val="clear" w:pos="8504"/>
        <w:tab w:val="center" w:pos="4820"/>
        <w:tab w:val="right" w:pos="9746"/>
      </w:tabs>
    </w:pPr>
    <w:r>
      <w:rPr>
        <w:b/>
        <w:bCs/>
        <w:smallCaps/>
        <w:noProof/>
        <w:spacing w:val="5"/>
      </w:rPr>
      <w:t>MADRID</w:t>
    </w:r>
    <w:r w:rsidR="002D62C4">
      <w:rPr>
        <w:rStyle w:val="Ttulodellibro"/>
        <w:bCs/>
      </w:rPr>
      <w:tab/>
    </w:r>
    <w:r w:rsidR="00561630" w:rsidRPr="00561630">
      <w:rPr>
        <w:rStyle w:val="Ttulodellibro"/>
        <w:bCs/>
      </w:rPr>
      <w:fldChar w:fldCharType="begin"/>
    </w:r>
    <w:r w:rsidR="00561630" w:rsidRPr="00561630">
      <w:rPr>
        <w:rStyle w:val="Ttulodellibro"/>
        <w:bCs/>
      </w:rPr>
      <w:instrText>PAGE   \* MERGEFORMAT</w:instrText>
    </w:r>
    <w:r w:rsidR="00561630" w:rsidRPr="00561630">
      <w:rPr>
        <w:rStyle w:val="Ttulodellibro"/>
        <w:bCs/>
      </w:rPr>
      <w:fldChar w:fldCharType="separate"/>
    </w:r>
    <w:r w:rsidR="00184E69">
      <w:rPr>
        <w:rStyle w:val="Ttulodellibro"/>
        <w:bCs/>
        <w:noProof/>
      </w:rPr>
      <w:t>13</w:t>
    </w:r>
    <w:r w:rsidR="00561630" w:rsidRPr="00561630">
      <w:rPr>
        <w:rStyle w:val="Ttulodellibro"/>
        <w:bCs/>
      </w:rPr>
      <w:fldChar w:fldCharType="end"/>
    </w:r>
    <w:r w:rsidR="002D62C4">
      <w:rPr>
        <w:rStyle w:val="Ttulodellibro"/>
        <w:bCs/>
      </w:rPr>
      <w:tab/>
    </w:r>
    <w:r>
      <w:rPr>
        <w:rStyle w:val="Ttulodellibro"/>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D0F" w:rsidRDefault="00D10D0F" w:rsidP="00C70AE1">
      <w:r>
        <w:separator/>
      </w:r>
    </w:p>
  </w:footnote>
  <w:footnote w:type="continuationSeparator" w:id="0">
    <w:p w:rsidR="00D10D0F" w:rsidRDefault="00D10D0F" w:rsidP="00C70AE1">
      <w:r>
        <w:continuationSeparator/>
      </w:r>
    </w:p>
  </w:footnote>
  <w:footnote w:id="1">
    <w:p w:rsidR="00171C7C" w:rsidRDefault="00171C7C" w:rsidP="00171C7C">
      <w:pPr>
        <w:pStyle w:val="Textonotapie"/>
        <w:spacing w:after="120" w:line="240" w:lineRule="auto"/>
      </w:pPr>
      <w:r>
        <w:rPr>
          <w:rStyle w:val="Refdenotaalpie"/>
        </w:rPr>
        <w:footnoteRef/>
      </w:r>
      <w:r>
        <w:t xml:space="preserve"> Se entiende por </w:t>
      </w:r>
      <w:r>
        <w:rPr>
          <w:b/>
          <w:bCs/>
        </w:rPr>
        <w:t>gasto total (con inversiones financieras) previsto del Grupo Fomento</w:t>
      </w:r>
      <w:r>
        <w:t>: capítulo 4 (Principales Transferencias regionalizado) + capítulo 6 (Inversiones del Ministerio de Fomento) + capítulo 7 (Principales Transferencias regionalizado) + Capítulo 8 (Inversiones Financieras) + Inversiones reales de Entidades Públicas Empresariales del Grupo Fomento.</w:t>
      </w:r>
    </w:p>
  </w:footnote>
  <w:footnote w:id="2">
    <w:p w:rsidR="00171C7C" w:rsidRDefault="00171C7C" w:rsidP="00171C7C">
      <w:pPr>
        <w:pStyle w:val="Textonotapie"/>
        <w:spacing w:after="120" w:line="240" w:lineRule="auto"/>
      </w:pPr>
      <w:r>
        <w:rPr>
          <w:rStyle w:val="Refdenotaalpie"/>
        </w:rPr>
        <w:footnoteRef/>
      </w:r>
      <w:r>
        <w:t xml:space="preserve"> Se entiende por </w:t>
      </w:r>
      <w:r>
        <w:rPr>
          <w:b/>
          <w:bCs/>
        </w:rPr>
        <w:t>presupuesto de inversión previsto del Grupo Fomento</w:t>
      </w:r>
      <w:r>
        <w:t>: capítulo 6 (Inversiones del Ministerio de Fomento) + capítulo 7 (Principales Transferencias regionalizado) + Inversiones reales de Entidades Públicas Empresariales del Grupo Fomento.</w:t>
      </w:r>
    </w:p>
  </w:footnote>
  <w:footnote w:id="3">
    <w:p w:rsidR="00171C7C" w:rsidRDefault="00171C7C" w:rsidP="00171C7C">
      <w:pPr>
        <w:pStyle w:val="Textonotapie"/>
        <w:spacing w:after="120" w:line="240" w:lineRule="auto"/>
      </w:pPr>
      <w:r>
        <w:rPr>
          <w:rStyle w:val="Refdenotaalpie"/>
        </w:rPr>
        <w:footnoteRef/>
      </w:r>
      <w:r>
        <w:t xml:space="preserve"> Se entiende por </w:t>
      </w:r>
      <w:r>
        <w:rPr>
          <w:b/>
          <w:bCs/>
        </w:rPr>
        <w:t>inversión real del Grupo Fomento</w:t>
      </w:r>
      <w:r>
        <w:t>: capítulo 6 (Inversiones del Ministerio de Fomento) + Inversiones reales de Entidades Públicas Empresariales del Grupo Fomento.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2C4" w:rsidRDefault="0089765E" w:rsidP="00C70AE1">
    <w:pPr>
      <w:pStyle w:val="Encabezado"/>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align>top</wp:align>
              </wp:positionV>
              <wp:extent cx="6188710" cy="777240"/>
              <wp:effectExtent l="0" t="0" r="2540" b="38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710" cy="777240"/>
                      </a:xfrm>
                      <a:prstGeom prst="rect">
                        <a:avLst/>
                      </a:prstGeom>
                      <a:solidFill>
                        <a:srgbClr val="843C3C"/>
                      </a:solidFill>
                      <a:ln>
                        <a:noFill/>
                      </a:ln>
                      <a:extLst/>
                    </wps:spPr>
                    <wps:txbx>
                      <w:txbxContent>
                        <w:p w:rsidR="00462527" w:rsidRDefault="002D62C4" w:rsidP="00C70AE1">
                          <w:pPr>
                            <w:rPr>
                              <w:color w:val="FFFFFF"/>
                            </w:rPr>
                          </w:pPr>
                          <w:r w:rsidRPr="00D10D0F">
                            <w:rPr>
                              <w:color w:val="FFFFFF"/>
                            </w:rPr>
                            <w:t xml:space="preserve"> </w:t>
                          </w:r>
                        </w:p>
                        <w:p w:rsidR="002D62C4" w:rsidRPr="00D10D0F" w:rsidRDefault="002D62C4" w:rsidP="006D22FB">
                          <w:pPr>
                            <w:jc w:val="center"/>
                            <w:rPr>
                              <w:color w:val="FFFFFF"/>
                            </w:rPr>
                          </w:pPr>
                          <w:r w:rsidRPr="00D10D0F">
                            <w:rPr>
                              <w:color w:val="FFFFFF"/>
                            </w:rPr>
                            <w:t>PROYECTO DE LEY DE PRESUPUESTOS GENERALES DEL ESTADO PARA 201</w:t>
                          </w:r>
                          <w:r w:rsidR="005200E5">
                            <w:rPr>
                              <w:color w:val="FFFFFF"/>
                            </w:rPr>
                            <w:t>9</w:t>
                          </w: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topMargin">
                <wp14:pctHeight>85000</wp14:pctHeight>
              </wp14:sizeRelV>
            </wp:anchor>
          </w:drawing>
        </mc:Choice>
        <mc:Fallback>
          <w:pict>
            <v:rect id="Rectángulo 4" o:spid="_x0000_s1027" style="position:absolute;left:0;text-align:left;margin-left:0;margin-top:0;width:487.3pt;height:61.2pt;z-index:251657216;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" fillcolor="#843c3c" stroked="f">
              <v:textbox>
                <w:txbxContent>
                  <w:p w:rsidR="00462527" w:rsidRDefault="002D62C4" w:rsidP="00C70AE1">
                    <w:pPr>
                      <w:rPr>
                        <w:color w:val="FFFFFF"/>
                      </w:rPr>
                    </w:pPr>
                    <w:r w:rsidRPr="00D10D0F">
                      <w:rPr>
                        <w:color w:val="FFFFFF"/>
                      </w:rPr>
                      <w:t xml:space="preserve"> </w:t>
                    </w:r>
                  </w:p>
                  <w:p w:rsidR="002D62C4" w:rsidRPr="00D10D0F" w:rsidRDefault="002D62C4" w:rsidP="006D22FB">
                    <w:pPr>
                      <w:jc w:val="center"/>
                      <w:rPr>
                        <w:color w:val="FFFFFF"/>
                      </w:rPr>
                    </w:pPr>
                    <w:r w:rsidRPr="00D10D0F">
                      <w:rPr>
                        <w:color w:val="FFFFFF"/>
                      </w:rPr>
                      <w:t>PROYECTO DE LEY DE PRESUPUESTOS GENERALES DEL ESTADO PARA 201</w:t>
                    </w:r>
                    <w:r w:rsidR="005200E5">
                      <w:rPr>
                        <w:color w:val="FFFFFF"/>
                      </w:rPr>
                      <w:t>9</w:t>
                    </w:r>
                  </w:p>
                </w:txbxContent>
              </v:textbox>
              <w10:wrap anchorx="margin" anchory="page"/>
            </v:rect>
          </w:pict>
        </mc:Fallback>
      </mc:AlternateContent>
    </w:r>
  </w:p>
  <w:p w:rsidR="002D62C4" w:rsidRPr="00604F59" w:rsidRDefault="002D62C4" w:rsidP="00C70AE1">
    <w:pPr>
      <w:pStyle w:val="Encabezado"/>
      <w:rPr>
        <w:rStyle w:val="Ttulodellibro"/>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94"/>
    <w:multiLevelType w:val="multilevel"/>
    <w:tmpl w:val="00F40580"/>
    <w:numStyleLink w:val="Estilo1"/>
  </w:abstractNum>
  <w:abstractNum w:abstractNumId="1" w15:restartNumberingAfterBreak="0">
    <w:nsid w:val="07EE617F"/>
    <w:multiLevelType w:val="multilevel"/>
    <w:tmpl w:val="2BF499BE"/>
    <w:numStyleLink w:val="Estilo2"/>
  </w:abstractNum>
  <w:abstractNum w:abstractNumId="2" w15:restartNumberingAfterBreak="0">
    <w:nsid w:val="1B566B11"/>
    <w:multiLevelType w:val="hybridMultilevel"/>
    <w:tmpl w:val="1BFAA9E0"/>
    <w:lvl w:ilvl="0" w:tplc="62AA9C4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1DF9015D"/>
    <w:multiLevelType w:val="multilevel"/>
    <w:tmpl w:val="00F40580"/>
    <w:numStyleLink w:val="Estilo1"/>
  </w:abstractNum>
  <w:abstractNum w:abstractNumId="4" w15:restartNumberingAfterBreak="0">
    <w:nsid w:val="232E4273"/>
    <w:multiLevelType w:val="multilevel"/>
    <w:tmpl w:val="00F40580"/>
    <w:numStyleLink w:val="Estilo1"/>
  </w:abstractNum>
  <w:abstractNum w:abstractNumId="5" w15:restartNumberingAfterBreak="0">
    <w:nsid w:val="233D0A41"/>
    <w:multiLevelType w:val="multilevel"/>
    <w:tmpl w:val="0E7878D0"/>
    <w:lvl w:ilvl="0">
      <w:start w:val="1"/>
      <w:numFmt w:val="decimal"/>
      <w:lvlText w:val="%1."/>
      <w:lvlJc w:val="left"/>
      <w:pPr>
        <w:ind w:left="360" w:hanging="360"/>
      </w:pPr>
      <w:rPr>
        <w:rFonts w:hint="default"/>
      </w:rPr>
    </w:lvl>
    <w:lvl w:ilvl="1">
      <w:start w:val="1"/>
      <w:numFmt w:val="decimal"/>
      <w:lvlText w:val="%1.%2."/>
      <w:lvlJc w:val="left"/>
      <w:pPr>
        <w:ind w:left="1021" w:hanging="68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7327C5"/>
    <w:multiLevelType w:val="multilevel"/>
    <w:tmpl w:val="00F40580"/>
    <w:numStyleLink w:val="Estilo1"/>
  </w:abstractNum>
  <w:abstractNum w:abstractNumId="7" w15:restartNumberingAfterBreak="0">
    <w:nsid w:val="24057E15"/>
    <w:multiLevelType w:val="multilevel"/>
    <w:tmpl w:val="2BF499BE"/>
    <w:numStyleLink w:val="Estilo2"/>
  </w:abstractNum>
  <w:abstractNum w:abstractNumId="8" w15:restartNumberingAfterBreak="0">
    <w:nsid w:val="26570979"/>
    <w:multiLevelType w:val="multilevel"/>
    <w:tmpl w:val="00F40580"/>
    <w:numStyleLink w:val="Estilo1"/>
  </w:abstractNum>
  <w:abstractNum w:abstractNumId="9" w15:restartNumberingAfterBreak="0">
    <w:nsid w:val="280F132F"/>
    <w:multiLevelType w:val="multilevel"/>
    <w:tmpl w:val="00F40580"/>
    <w:numStyleLink w:val="Estilo1"/>
  </w:abstractNum>
  <w:abstractNum w:abstractNumId="10" w15:restartNumberingAfterBreak="0">
    <w:nsid w:val="30D7558F"/>
    <w:multiLevelType w:val="hybridMultilevel"/>
    <w:tmpl w:val="1D6AE8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5275A1A"/>
    <w:multiLevelType w:val="multilevel"/>
    <w:tmpl w:val="00F40580"/>
    <w:numStyleLink w:val="Estilo1"/>
  </w:abstractNum>
  <w:abstractNum w:abstractNumId="12" w15:restartNumberingAfterBreak="0">
    <w:nsid w:val="3CC17273"/>
    <w:multiLevelType w:val="multilevel"/>
    <w:tmpl w:val="00F40580"/>
    <w:numStyleLink w:val="Estilo1"/>
  </w:abstractNum>
  <w:abstractNum w:abstractNumId="13" w15:restartNumberingAfterBreak="0">
    <w:nsid w:val="3FA445A5"/>
    <w:multiLevelType w:val="hybridMultilevel"/>
    <w:tmpl w:val="494083FA"/>
    <w:lvl w:ilvl="0" w:tplc="0C0A0003">
      <w:start w:val="1"/>
      <w:numFmt w:val="bullet"/>
      <w:lvlText w:val="o"/>
      <w:lvlJc w:val="left"/>
      <w:pPr>
        <w:ind w:left="1080" w:hanging="360"/>
      </w:pPr>
      <w:rPr>
        <w:rFonts w:ascii="Courier New" w:hAnsi="Courier New" w:cs="Courier New" w:hint="default"/>
      </w:rPr>
    </w:lvl>
    <w:lvl w:ilvl="1" w:tplc="0C0A0003">
      <w:start w:val="1"/>
      <w:numFmt w:val="bullet"/>
      <w:lvlText w:val="o"/>
      <w:lvlJc w:val="left"/>
      <w:pPr>
        <w:ind w:left="1800" w:hanging="360"/>
      </w:pPr>
      <w:rPr>
        <w:rFonts w:ascii="Courier New" w:hAnsi="Courier New" w:cs="Courier New" w:hint="default"/>
      </w:rPr>
    </w:lvl>
    <w:lvl w:ilvl="2" w:tplc="0C0A0001">
      <w:start w:val="1"/>
      <w:numFmt w:val="bullet"/>
      <w:lvlText w:val=""/>
      <w:lvlJc w:val="left"/>
      <w:pPr>
        <w:ind w:left="2520" w:hanging="360"/>
      </w:pPr>
      <w:rPr>
        <w:rFonts w:ascii="Symbol" w:hAnsi="Symbol"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4" w15:restartNumberingAfterBreak="0">
    <w:nsid w:val="456E5411"/>
    <w:multiLevelType w:val="multilevel"/>
    <w:tmpl w:val="00F40580"/>
    <w:numStyleLink w:val="Estilo1"/>
  </w:abstractNum>
  <w:abstractNum w:abstractNumId="15" w15:restartNumberingAfterBreak="0">
    <w:nsid w:val="46F56B50"/>
    <w:multiLevelType w:val="multilevel"/>
    <w:tmpl w:val="00F40580"/>
    <w:numStyleLink w:val="Estilo1"/>
  </w:abstractNum>
  <w:abstractNum w:abstractNumId="16" w15:restartNumberingAfterBreak="0">
    <w:nsid w:val="4F495B04"/>
    <w:multiLevelType w:val="multilevel"/>
    <w:tmpl w:val="2BF499BE"/>
    <w:styleLink w:val="Estilo2"/>
    <w:lvl w:ilvl="0">
      <w:start w:val="1"/>
      <w:numFmt w:val="decimal"/>
      <w:lvlText w:val="%1."/>
      <w:lvlJc w:val="left"/>
      <w:pPr>
        <w:ind w:left="454" w:hanging="454"/>
      </w:pPr>
      <w:rPr>
        <w:rFonts w:cs="Times New Roman" w:hint="default"/>
        <w:color w:val="3C5184"/>
      </w:rPr>
    </w:lvl>
    <w:lvl w:ilvl="1">
      <w:start w:val="1"/>
      <w:numFmt w:val="decimal"/>
      <w:lvlText w:val="%1.%2."/>
      <w:lvlJc w:val="left"/>
      <w:pPr>
        <w:ind w:left="454" w:hanging="454"/>
      </w:pPr>
      <w:rPr>
        <w:rFonts w:cs="Times New Roman" w:hint="default"/>
        <w:color w:val="5B5B5B"/>
      </w:rPr>
    </w:lvl>
    <w:lvl w:ilvl="2">
      <w:start w:val="1"/>
      <w:numFmt w:val="decimal"/>
      <w:lvlText w:val="%1.%2.%3."/>
      <w:lvlJc w:val="left"/>
      <w:pPr>
        <w:ind w:left="1134" w:hanging="454"/>
      </w:pPr>
      <w:rPr>
        <w:rFonts w:cs="Times New Roman" w:hint="default"/>
        <w:color w:val="3C5184"/>
      </w:rPr>
    </w:lvl>
    <w:lvl w:ilvl="3">
      <w:start w:val="1"/>
      <w:numFmt w:val="decimal"/>
      <w:lvlText w:val="%1.%2.%3.%4."/>
      <w:lvlJc w:val="left"/>
      <w:pPr>
        <w:ind w:left="1474" w:hanging="454"/>
      </w:pPr>
      <w:rPr>
        <w:rFonts w:cs="Times New Roman" w:hint="default"/>
        <w:color w:val="3C5184"/>
      </w:rPr>
    </w:lvl>
    <w:lvl w:ilvl="4">
      <w:start w:val="1"/>
      <w:numFmt w:val="decimal"/>
      <w:lvlText w:val="%1.%2.%3.%4.%5."/>
      <w:lvlJc w:val="left"/>
      <w:pPr>
        <w:ind w:left="1814" w:hanging="454"/>
      </w:pPr>
      <w:rPr>
        <w:rFonts w:cs="Times New Roman" w:hint="default"/>
        <w:color w:val="3C5184"/>
      </w:rPr>
    </w:lvl>
    <w:lvl w:ilvl="5">
      <w:start w:val="1"/>
      <w:numFmt w:val="decimal"/>
      <w:lvlText w:val="%1.%2.%3.%4.%5.%6."/>
      <w:lvlJc w:val="left"/>
      <w:pPr>
        <w:ind w:left="2154" w:hanging="454"/>
      </w:pPr>
      <w:rPr>
        <w:rFonts w:cs="Times New Roman" w:hint="default"/>
      </w:rPr>
    </w:lvl>
    <w:lvl w:ilvl="6">
      <w:start w:val="1"/>
      <w:numFmt w:val="decimal"/>
      <w:lvlText w:val="%1.%2.%3.%4.%5.%6.%7."/>
      <w:lvlJc w:val="left"/>
      <w:pPr>
        <w:ind w:left="2494" w:hanging="454"/>
      </w:pPr>
      <w:rPr>
        <w:rFonts w:cs="Times New Roman" w:hint="default"/>
      </w:rPr>
    </w:lvl>
    <w:lvl w:ilvl="7">
      <w:start w:val="1"/>
      <w:numFmt w:val="decimal"/>
      <w:lvlText w:val="%1.%2.%3.%4.%5.%6.%7.%8."/>
      <w:lvlJc w:val="left"/>
      <w:pPr>
        <w:ind w:left="2834" w:hanging="454"/>
      </w:pPr>
      <w:rPr>
        <w:rFonts w:cs="Times New Roman" w:hint="default"/>
      </w:rPr>
    </w:lvl>
    <w:lvl w:ilvl="8">
      <w:start w:val="1"/>
      <w:numFmt w:val="decimal"/>
      <w:lvlText w:val="%1.%2.%3.%4.%5.%6.%7.%8.%9."/>
      <w:lvlJc w:val="left"/>
      <w:pPr>
        <w:ind w:left="3174" w:hanging="454"/>
      </w:pPr>
      <w:rPr>
        <w:rFonts w:cs="Times New Roman" w:hint="default"/>
      </w:rPr>
    </w:lvl>
  </w:abstractNum>
  <w:abstractNum w:abstractNumId="17" w15:restartNumberingAfterBreak="0">
    <w:nsid w:val="590445E0"/>
    <w:multiLevelType w:val="multilevel"/>
    <w:tmpl w:val="2BF499BE"/>
    <w:numStyleLink w:val="Estilo2"/>
  </w:abstractNum>
  <w:abstractNum w:abstractNumId="18" w15:restartNumberingAfterBreak="0">
    <w:nsid w:val="5EE30195"/>
    <w:multiLevelType w:val="multilevel"/>
    <w:tmpl w:val="2BF499BE"/>
    <w:numStyleLink w:val="Estilo2"/>
  </w:abstractNum>
  <w:abstractNum w:abstractNumId="19" w15:restartNumberingAfterBreak="0">
    <w:nsid w:val="632C6C72"/>
    <w:multiLevelType w:val="multilevel"/>
    <w:tmpl w:val="2B769132"/>
    <w:lvl w:ilvl="0">
      <w:start w:val="1"/>
      <w:numFmt w:val="bullet"/>
      <w:lvlText w:val=""/>
      <w:lvlJc w:val="left"/>
      <w:pPr>
        <w:ind w:left="688" w:hanging="454"/>
      </w:pPr>
      <w:rPr>
        <w:rFonts w:ascii="MS Reference Specialty" w:hAnsi="MS Reference Specialty" w:hint="default"/>
        <w:color w:val="843C3C"/>
      </w:rPr>
    </w:lvl>
    <w:lvl w:ilvl="1">
      <w:start w:val="1"/>
      <w:numFmt w:val="bullet"/>
      <w:lvlText w:val=""/>
      <w:lvlJc w:val="left"/>
      <w:pPr>
        <w:ind w:left="1028" w:hanging="454"/>
      </w:pPr>
      <w:rPr>
        <w:rFonts w:ascii="MS Reference Specialty" w:hAnsi="MS Reference Specialty" w:hint="default"/>
        <w:color w:val="17365D"/>
      </w:rPr>
    </w:lvl>
    <w:lvl w:ilvl="2">
      <w:start w:val="1"/>
      <w:numFmt w:val="bullet"/>
      <w:lvlText w:val=""/>
      <w:lvlJc w:val="left"/>
      <w:pPr>
        <w:ind w:left="1368" w:hanging="454"/>
      </w:pPr>
      <w:rPr>
        <w:rFonts w:ascii="MS Reference Specialty" w:hAnsi="MS Reference Specialty" w:hint="default"/>
        <w:color w:val="17365D"/>
      </w:rPr>
    </w:lvl>
    <w:lvl w:ilvl="3">
      <w:start w:val="1"/>
      <w:numFmt w:val="bullet"/>
      <w:lvlText w:val=""/>
      <w:lvlJc w:val="left"/>
      <w:pPr>
        <w:ind w:left="1708" w:hanging="454"/>
      </w:pPr>
      <w:rPr>
        <w:rFonts w:ascii="MS Reference Specialty" w:hAnsi="MS Reference Specialty" w:hint="default"/>
        <w:color w:val="17365D"/>
      </w:rPr>
    </w:lvl>
    <w:lvl w:ilvl="4">
      <w:start w:val="1"/>
      <w:numFmt w:val="bullet"/>
      <w:lvlText w:val="o"/>
      <w:lvlJc w:val="left"/>
      <w:pPr>
        <w:ind w:left="2048" w:hanging="454"/>
      </w:pPr>
      <w:rPr>
        <w:rFonts w:ascii="Courier New" w:hAnsi="Courier New" w:hint="default"/>
        <w:color w:val="17365D"/>
      </w:rPr>
    </w:lvl>
    <w:lvl w:ilvl="5">
      <w:start w:val="1"/>
      <w:numFmt w:val="bullet"/>
      <w:lvlText w:val=""/>
      <w:lvlJc w:val="left"/>
      <w:pPr>
        <w:ind w:left="2388" w:hanging="454"/>
      </w:pPr>
      <w:rPr>
        <w:rFonts w:ascii="MS Reference Specialty" w:hAnsi="MS Reference Specialty" w:hint="default"/>
        <w:color w:val="17365D"/>
      </w:rPr>
    </w:lvl>
    <w:lvl w:ilvl="6">
      <w:start w:val="1"/>
      <w:numFmt w:val="bullet"/>
      <w:lvlText w:val=""/>
      <w:lvlJc w:val="left"/>
      <w:pPr>
        <w:ind w:left="2728" w:hanging="454"/>
      </w:pPr>
      <w:rPr>
        <w:rFonts w:ascii="Symbol" w:hAnsi="Symbol" w:hint="default"/>
      </w:rPr>
    </w:lvl>
    <w:lvl w:ilvl="7">
      <w:start w:val="1"/>
      <w:numFmt w:val="bullet"/>
      <w:lvlText w:val="o"/>
      <w:lvlJc w:val="left"/>
      <w:pPr>
        <w:ind w:left="3068" w:hanging="454"/>
      </w:pPr>
      <w:rPr>
        <w:rFonts w:ascii="Courier New" w:hAnsi="Courier New" w:hint="default"/>
      </w:rPr>
    </w:lvl>
    <w:lvl w:ilvl="8">
      <w:start w:val="1"/>
      <w:numFmt w:val="bullet"/>
      <w:lvlText w:val=""/>
      <w:lvlJc w:val="left"/>
      <w:pPr>
        <w:ind w:left="3408" w:hanging="454"/>
      </w:pPr>
      <w:rPr>
        <w:rFonts w:ascii="Wingdings" w:hAnsi="Wingdings" w:hint="default"/>
      </w:rPr>
    </w:lvl>
  </w:abstractNum>
  <w:abstractNum w:abstractNumId="20" w15:restartNumberingAfterBreak="0">
    <w:nsid w:val="691F121C"/>
    <w:multiLevelType w:val="multilevel"/>
    <w:tmpl w:val="00F40580"/>
    <w:numStyleLink w:val="Estilo1"/>
  </w:abstractNum>
  <w:abstractNum w:abstractNumId="21" w15:restartNumberingAfterBreak="0">
    <w:nsid w:val="6B415C52"/>
    <w:multiLevelType w:val="hybridMultilevel"/>
    <w:tmpl w:val="B9543CAC"/>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0485179"/>
    <w:multiLevelType w:val="hybridMultilevel"/>
    <w:tmpl w:val="FD261F18"/>
    <w:lvl w:ilvl="0" w:tplc="0C0A0001">
      <w:start w:val="1"/>
      <w:numFmt w:val="bullet"/>
      <w:lvlText w:val=""/>
      <w:lvlJc w:val="left"/>
      <w:pPr>
        <w:ind w:left="2520" w:hanging="360"/>
      </w:pPr>
      <w:rPr>
        <w:rFonts w:ascii="Symbol" w:hAnsi="Symbol" w:hint="default"/>
      </w:rPr>
    </w:lvl>
    <w:lvl w:ilvl="1" w:tplc="0C0A0003">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3" w15:restartNumberingAfterBreak="0">
    <w:nsid w:val="73F83A92"/>
    <w:multiLevelType w:val="hybridMultilevel"/>
    <w:tmpl w:val="BFD8589C"/>
    <w:lvl w:ilvl="0" w:tplc="0C0A0001">
      <w:start w:val="1"/>
      <w:numFmt w:val="bullet"/>
      <w:lvlText w:val=""/>
      <w:lvlJc w:val="left"/>
      <w:pPr>
        <w:ind w:left="1800" w:hanging="360"/>
      </w:pPr>
      <w:rPr>
        <w:rFonts w:ascii="Symbol" w:hAnsi="Symbol" w:hint="default"/>
      </w:rPr>
    </w:lvl>
    <w:lvl w:ilvl="1" w:tplc="D1C02D62">
      <w:start w:val="1"/>
      <w:numFmt w:val="bullet"/>
      <w:lvlText w:val="-"/>
      <w:lvlJc w:val="left"/>
      <w:pPr>
        <w:ind w:left="2520" w:hanging="360"/>
      </w:pPr>
      <w:rPr>
        <w:rFonts w:ascii="Sylfaen" w:hAnsi="Sylfaen" w:hint="default"/>
        <w:color w:val="943634" w:themeColor="accent2" w:themeShade="BF"/>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4" w15:restartNumberingAfterBreak="0">
    <w:nsid w:val="78DE2E71"/>
    <w:multiLevelType w:val="multilevel"/>
    <w:tmpl w:val="2BF499BE"/>
    <w:numStyleLink w:val="Estilo2"/>
  </w:abstractNum>
  <w:abstractNum w:abstractNumId="25" w15:restartNumberingAfterBreak="0">
    <w:nsid w:val="7B391FF5"/>
    <w:multiLevelType w:val="multilevel"/>
    <w:tmpl w:val="00F40580"/>
    <w:styleLink w:val="Estilo1"/>
    <w:lvl w:ilvl="0">
      <w:start w:val="1"/>
      <w:numFmt w:val="bullet"/>
      <w:lvlText w:val=""/>
      <w:lvlJc w:val="left"/>
      <w:pPr>
        <w:ind w:left="596" w:hanging="454"/>
      </w:pPr>
      <w:rPr>
        <w:rFonts w:ascii="MS Reference Specialty" w:hAnsi="MS Reference Specialty" w:hint="default"/>
        <w:color w:val="3C5184"/>
      </w:rPr>
    </w:lvl>
    <w:lvl w:ilvl="1">
      <w:start w:val="1"/>
      <w:numFmt w:val="bullet"/>
      <w:lvlText w:val=""/>
      <w:lvlJc w:val="left"/>
      <w:pPr>
        <w:ind w:left="794" w:hanging="454"/>
      </w:pPr>
      <w:rPr>
        <w:rFonts w:ascii="MS Reference Specialty" w:hAnsi="MS Reference Specialty" w:hint="default"/>
        <w:color w:val="3C5184"/>
      </w:rPr>
    </w:lvl>
    <w:lvl w:ilvl="2">
      <w:start w:val="1"/>
      <w:numFmt w:val="bullet"/>
      <w:lvlText w:val=""/>
      <w:lvlJc w:val="left"/>
      <w:pPr>
        <w:ind w:left="1134" w:hanging="454"/>
      </w:pPr>
      <w:rPr>
        <w:rFonts w:ascii="MS Reference Specialty" w:hAnsi="MS Reference Specialty" w:hint="default"/>
        <w:color w:val="3C5184"/>
      </w:rPr>
    </w:lvl>
    <w:lvl w:ilvl="3">
      <w:start w:val="1"/>
      <w:numFmt w:val="bullet"/>
      <w:lvlText w:val=""/>
      <w:lvlJc w:val="left"/>
      <w:pPr>
        <w:ind w:left="1474" w:hanging="454"/>
      </w:pPr>
      <w:rPr>
        <w:rFonts w:ascii="MS Reference Specialty" w:hAnsi="MS Reference Specialty" w:hint="default"/>
        <w:color w:val="3C5184"/>
      </w:rPr>
    </w:lvl>
    <w:lvl w:ilvl="4">
      <w:start w:val="1"/>
      <w:numFmt w:val="bullet"/>
      <w:lvlText w:val="o"/>
      <w:lvlJc w:val="left"/>
      <w:pPr>
        <w:ind w:left="1814" w:hanging="454"/>
      </w:pPr>
      <w:rPr>
        <w:rFonts w:ascii="Courier New" w:hAnsi="Courier New" w:hint="default"/>
        <w:color w:val="3C5184"/>
      </w:rPr>
    </w:lvl>
    <w:lvl w:ilvl="5">
      <w:start w:val="1"/>
      <w:numFmt w:val="bullet"/>
      <w:lvlText w:val=""/>
      <w:lvlJc w:val="left"/>
      <w:pPr>
        <w:ind w:left="2154" w:hanging="454"/>
      </w:pPr>
      <w:rPr>
        <w:rFonts w:ascii="MS Reference Specialty" w:hAnsi="MS Reference Specialty" w:hint="default"/>
        <w:color w:val="3C5184"/>
      </w:rPr>
    </w:lvl>
    <w:lvl w:ilvl="6">
      <w:start w:val="1"/>
      <w:numFmt w:val="bullet"/>
      <w:lvlText w:val=""/>
      <w:lvlJc w:val="left"/>
      <w:pPr>
        <w:ind w:left="2494" w:hanging="454"/>
      </w:pPr>
      <w:rPr>
        <w:rFonts w:ascii="Symbol" w:hAnsi="Symbol" w:hint="default"/>
      </w:rPr>
    </w:lvl>
    <w:lvl w:ilvl="7">
      <w:start w:val="1"/>
      <w:numFmt w:val="bullet"/>
      <w:lvlText w:val="o"/>
      <w:lvlJc w:val="left"/>
      <w:pPr>
        <w:ind w:left="2834" w:hanging="454"/>
      </w:pPr>
      <w:rPr>
        <w:rFonts w:ascii="Courier New" w:hAnsi="Courier New" w:hint="default"/>
      </w:rPr>
    </w:lvl>
    <w:lvl w:ilvl="8">
      <w:start w:val="1"/>
      <w:numFmt w:val="bullet"/>
      <w:lvlText w:val=""/>
      <w:lvlJc w:val="left"/>
      <w:pPr>
        <w:ind w:left="3174" w:hanging="454"/>
      </w:pPr>
      <w:rPr>
        <w:rFonts w:ascii="Wingdings" w:hAnsi="Wingdings" w:hint="default"/>
      </w:rPr>
    </w:lvl>
  </w:abstractNum>
  <w:num w:numId="1">
    <w:abstractNumId w:val="25"/>
  </w:num>
  <w:num w:numId="2">
    <w:abstractNumId w:val="16"/>
  </w:num>
  <w:num w:numId="3">
    <w:abstractNumId w:val="24"/>
    <w:lvlOverride w:ilvl="0">
      <w:lvl w:ilvl="0">
        <w:start w:val="1"/>
        <w:numFmt w:val="decimal"/>
        <w:lvlText w:val="%1."/>
        <w:lvlJc w:val="left"/>
        <w:pPr>
          <w:ind w:left="454" w:hanging="454"/>
        </w:pPr>
        <w:rPr>
          <w:rFonts w:cs="Times New Roman" w:hint="default"/>
          <w:color w:val="843C3C"/>
        </w:rPr>
      </w:lvl>
    </w:lvlOverride>
  </w:num>
  <w:num w:numId="4">
    <w:abstractNumId w:val="17"/>
    <w:lvlOverride w:ilvl="0">
      <w:lvl w:ilvl="0">
        <w:start w:val="1"/>
        <w:numFmt w:val="decimal"/>
        <w:lvlText w:val="%1."/>
        <w:lvlJc w:val="left"/>
        <w:pPr>
          <w:ind w:left="454" w:hanging="454"/>
        </w:pPr>
        <w:rPr>
          <w:rFonts w:cs="Times New Roman" w:hint="default"/>
          <w:color w:val="3C5184"/>
        </w:rPr>
      </w:lvl>
    </w:lvlOverride>
    <w:lvlOverride w:ilvl="1">
      <w:lvl w:ilvl="1">
        <w:start w:val="1"/>
        <w:numFmt w:val="decimal"/>
        <w:lvlText w:val="%1.%2."/>
        <w:lvlJc w:val="left"/>
        <w:pPr>
          <w:ind w:left="794" w:hanging="454"/>
        </w:pPr>
        <w:rPr>
          <w:rFonts w:cs="Times New Roman" w:hint="default"/>
          <w:b/>
          <w:color w:val="0F243E" w:themeColor="text2" w:themeShade="80"/>
        </w:rPr>
      </w:lvl>
    </w:lvlOverride>
    <w:lvlOverride w:ilvl="2">
      <w:lvl w:ilvl="2">
        <w:start w:val="1"/>
        <w:numFmt w:val="decimal"/>
        <w:lvlText w:val="%1.%2.%3."/>
        <w:lvlJc w:val="left"/>
        <w:pPr>
          <w:ind w:left="1134" w:hanging="454"/>
        </w:pPr>
        <w:rPr>
          <w:rFonts w:cs="Times New Roman" w:hint="default"/>
          <w:color w:val="3C5184"/>
        </w:rPr>
      </w:lvl>
    </w:lvlOverride>
    <w:lvlOverride w:ilvl="3">
      <w:lvl w:ilvl="3">
        <w:start w:val="1"/>
        <w:numFmt w:val="decimal"/>
        <w:lvlText w:val="%1.%2.%3.%4."/>
        <w:lvlJc w:val="left"/>
        <w:pPr>
          <w:ind w:left="1474" w:hanging="454"/>
        </w:pPr>
        <w:rPr>
          <w:rFonts w:cs="Times New Roman" w:hint="default"/>
          <w:color w:val="3C5184"/>
        </w:rPr>
      </w:lvl>
    </w:lvlOverride>
    <w:lvlOverride w:ilvl="4">
      <w:lvl w:ilvl="4">
        <w:start w:val="1"/>
        <w:numFmt w:val="decimal"/>
        <w:lvlText w:val="%1.%2.%3.%4.%5."/>
        <w:lvlJc w:val="left"/>
        <w:pPr>
          <w:ind w:left="1814" w:hanging="454"/>
        </w:pPr>
        <w:rPr>
          <w:rFonts w:cs="Times New Roman" w:hint="default"/>
          <w:color w:val="3C5184"/>
        </w:rPr>
      </w:lvl>
    </w:lvlOverride>
    <w:lvlOverride w:ilvl="5">
      <w:lvl w:ilvl="5">
        <w:start w:val="1"/>
        <w:numFmt w:val="decimal"/>
        <w:lvlText w:val="%1.%2.%3.%4.%5.%6."/>
        <w:lvlJc w:val="left"/>
        <w:pPr>
          <w:ind w:left="2154" w:hanging="454"/>
        </w:pPr>
        <w:rPr>
          <w:rFonts w:cs="Times New Roman" w:hint="default"/>
        </w:rPr>
      </w:lvl>
    </w:lvlOverride>
    <w:lvlOverride w:ilvl="6">
      <w:lvl w:ilvl="6">
        <w:start w:val="1"/>
        <w:numFmt w:val="decimal"/>
        <w:lvlText w:val="%1.%2.%3.%4.%5.%6.%7."/>
        <w:lvlJc w:val="left"/>
        <w:pPr>
          <w:ind w:left="2494" w:hanging="454"/>
        </w:pPr>
        <w:rPr>
          <w:rFonts w:cs="Times New Roman" w:hint="default"/>
        </w:rPr>
      </w:lvl>
    </w:lvlOverride>
    <w:lvlOverride w:ilvl="7">
      <w:lvl w:ilvl="7">
        <w:start w:val="1"/>
        <w:numFmt w:val="decimal"/>
        <w:lvlText w:val="%1.%2.%3.%4.%5.%6.%7.%8."/>
        <w:lvlJc w:val="left"/>
        <w:pPr>
          <w:ind w:left="2834" w:hanging="454"/>
        </w:pPr>
        <w:rPr>
          <w:rFonts w:cs="Times New Roman" w:hint="default"/>
        </w:rPr>
      </w:lvl>
    </w:lvlOverride>
    <w:lvlOverride w:ilvl="8">
      <w:lvl w:ilvl="8">
        <w:start w:val="1"/>
        <w:numFmt w:val="decimal"/>
        <w:lvlText w:val="%1.%2.%3.%4.%5.%6.%7.%8.%9."/>
        <w:lvlJc w:val="left"/>
        <w:pPr>
          <w:ind w:left="3174" w:hanging="454"/>
        </w:pPr>
        <w:rPr>
          <w:rFonts w:cs="Times New Roman" w:hint="default"/>
        </w:rPr>
      </w:lvl>
    </w:lvlOverride>
  </w:num>
  <w:num w:numId="5">
    <w:abstractNumId w:val="15"/>
  </w:num>
  <w:num w:numId="6">
    <w:abstractNumId w:val="4"/>
  </w:num>
  <w:num w:numId="7">
    <w:abstractNumId w:val="15"/>
    <w:lvlOverride w:ilvl="0">
      <w:lvl w:ilvl="0">
        <w:start w:val="1"/>
        <w:numFmt w:val="bullet"/>
        <w:lvlText w:val=""/>
        <w:lvlJc w:val="left"/>
        <w:pPr>
          <w:ind w:left="596" w:hanging="454"/>
        </w:pPr>
        <w:rPr>
          <w:rFonts w:ascii="MS Reference Specialty" w:hAnsi="MS Reference Specialty" w:hint="default"/>
          <w:color w:val="3C5184"/>
        </w:rPr>
      </w:lvl>
    </w:lvlOverride>
  </w:num>
  <w:num w:numId="8">
    <w:abstractNumId w:val="12"/>
  </w:num>
  <w:num w:numId="9">
    <w:abstractNumId w:val="15"/>
  </w:num>
  <w:num w:numId="10">
    <w:abstractNumId w:val="9"/>
  </w:num>
  <w:num w:numId="11">
    <w:abstractNumId w:val="11"/>
  </w:num>
  <w:num w:numId="12">
    <w:abstractNumId w:val="20"/>
  </w:num>
  <w:num w:numId="13">
    <w:abstractNumId w:val="19"/>
  </w:num>
  <w:num w:numId="14">
    <w:abstractNumId w:val="15"/>
  </w:num>
  <w:num w:numId="15">
    <w:abstractNumId w:val="8"/>
    <w:lvlOverride w:ilvl="0">
      <w:lvl w:ilvl="0">
        <w:start w:val="1"/>
        <w:numFmt w:val="bullet"/>
        <w:lvlText w:val=""/>
        <w:lvlJc w:val="left"/>
        <w:pPr>
          <w:ind w:left="596" w:hanging="454"/>
        </w:pPr>
        <w:rPr>
          <w:rFonts w:ascii="MS Reference Specialty" w:hAnsi="MS Reference Specialty" w:hint="default"/>
          <w:color w:val="943634" w:themeColor="accent2" w:themeShade="BF"/>
        </w:rPr>
      </w:lvl>
    </w:lvlOverride>
    <w:lvlOverride w:ilvl="1">
      <w:lvl w:ilvl="1">
        <w:start w:val="1"/>
        <w:numFmt w:val="bullet"/>
        <w:lvlText w:val=""/>
        <w:lvlJc w:val="left"/>
        <w:pPr>
          <w:ind w:left="794" w:hanging="454"/>
        </w:pPr>
        <w:rPr>
          <w:rFonts w:ascii="MS Reference Specialty" w:hAnsi="MS Reference Specialty" w:hint="default"/>
          <w:color w:val="943634" w:themeColor="accent2" w:themeShade="BF"/>
        </w:rPr>
      </w:lvl>
    </w:lvlOverride>
  </w:num>
  <w:num w:numId="16">
    <w:abstractNumId w:val="0"/>
    <w:lvlOverride w:ilvl="0">
      <w:lvl w:ilvl="0">
        <w:start w:val="1"/>
        <w:numFmt w:val="bullet"/>
        <w:lvlText w:val=""/>
        <w:lvlJc w:val="left"/>
        <w:pPr>
          <w:ind w:left="596" w:hanging="454"/>
        </w:pPr>
        <w:rPr>
          <w:rFonts w:ascii="MS Reference Specialty" w:hAnsi="MS Reference Specialty" w:hint="default"/>
          <w:color w:val="3C5184"/>
          <w:sz w:val="24"/>
          <w:szCs w:val="24"/>
        </w:rPr>
      </w:lvl>
    </w:lvlOverride>
  </w:num>
  <w:num w:numId="17">
    <w:abstractNumId w:val="19"/>
  </w:num>
  <w:num w:numId="18">
    <w:abstractNumId w:val="8"/>
    <w:lvlOverride w:ilvl="0">
      <w:lvl w:ilvl="0">
        <w:start w:val="1"/>
        <w:numFmt w:val="bullet"/>
        <w:lvlText w:val=""/>
        <w:lvlJc w:val="left"/>
        <w:pPr>
          <w:ind w:left="454" w:hanging="454"/>
        </w:pPr>
        <w:rPr>
          <w:rFonts w:ascii="MS Reference Specialty" w:hAnsi="MS Reference Specialty" w:hint="default"/>
          <w:color w:val="17365D" w:themeColor="text2" w:themeShade="BF"/>
          <w:sz w:val="24"/>
          <w:szCs w:val="24"/>
        </w:rPr>
      </w:lvl>
    </w:lvlOverride>
  </w:num>
  <w:num w:numId="19">
    <w:abstractNumId w:val="0"/>
  </w:num>
  <w:num w:numId="20">
    <w:abstractNumId w:val="21"/>
  </w:num>
  <w:num w:numId="21">
    <w:abstractNumId w:val="17"/>
    <w:lvlOverride w:ilvl="0">
      <w:lvl w:ilvl="0">
        <w:start w:val="1"/>
        <w:numFmt w:val="decimal"/>
        <w:lvlText w:val="%1."/>
        <w:lvlJc w:val="left"/>
        <w:pPr>
          <w:ind w:left="454" w:hanging="454"/>
        </w:pPr>
        <w:rPr>
          <w:rFonts w:cs="Times New Roman" w:hint="default"/>
          <w:color w:val="17365D" w:themeColor="text2" w:themeShade="BF"/>
        </w:rPr>
      </w:lvl>
    </w:lvlOverride>
    <w:lvlOverride w:ilvl="1">
      <w:lvl w:ilvl="1">
        <w:start w:val="1"/>
        <w:numFmt w:val="decimal"/>
        <w:lvlText w:val="%1.%2."/>
        <w:lvlJc w:val="left"/>
        <w:pPr>
          <w:ind w:left="794" w:hanging="454"/>
        </w:pPr>
        <w:rPr>
          <w:rFonts w:cs="Times New Roman" w:hint="default"/>
          <w:color w:val="0F243E" w:themeColor="text2" w:themeShade="80"/>
        </w:rPr>
      </w:lvl>
    </w:lvlOverride>
    <w:lvlOverride w:ilvl="2">
      <w:lvl w:ilvl="2">
        <w:start w:val="1"/>
        <w:numFmt w:val="decimal"/>
        <w:lvlText w:val="%1.%2.%3."/>
        <w:lvlJc w:val="left"/>
        <w:pPr>
          <w:ind w:left="1134" w:hanging="454"/>
        </w:pPr>
        <w:rPr>
          <w:rFonts w:cs="Times New Roman" w:hint="default"/>
          <w:b/>
          <w:color w:val="17365D" w:themeColor="text2" w:themeShade="BF"/>
        </w:rPr>
      </w:lvl>
    </w:lvlOverride>
    <w:lvlOverride w:ilvl="3">
      <w:lvl w:ilvl="3">
        <w:start w:val="1"/>
        <w:numFmt w:val="decimal"/>
        <w:lvlText w:val="%1.%2.%3.%4."/>
        <w:lvlJc w:val="left"/>
        <w:pPr>
          <w:ind w:left="1474" w:hanging="454"/>
        </w:pPr>
        <w:rPr>
          <w:rFonts w:cs="Times New Roman" w:hint="default"/>
          <w:color w:val="17365D" w:themeColor="text2" w:themeShade="BF"/>
        </w:rPr>
      </w:lvl>
    </w:lvlOverride>
    <w:lvlOverride w:ilvl="4">
      <w:lvl w:ilvl="4">
        <w:start w:val="1"/>
        <w:numFmt w:val="decimal"/>
        <w:lvlText w:val="%1.%2.%3.%4.%5."/>
        <w:lvlJc w:val="left"/>
        <w:pPr>
          <w:ind w:left="1814" w:hanging="454"/>
        </w:pPr>
        <w:rPr>
          <w:rFonts w:cs="Times New Roman" w:hint="default"/>
          <w:color w:val="17365D" w:themeColor="text2" w:themeShade="BF"/>
        </w:rPr>
      </w:lvl>
    </w:lvlOverride>
    <w:lvlOverride w:ilvl="5">
      <w:lvl w:ilvl="5">
        <w:start w:val="1"/>
        <w:numFmt w:val="decimal"/>
        <w:lvlText w:val="%1.%2.%3.%4.%5.%6."/>
        <w:lvlJc w:val="left"/>
        <w:pPr>
          <w:ind w:left="2154" w:hanging="454"/>
        </w:pPr>
        <w:rPr>
          <w:rFonts w:cs="Times New Roman" w:hint="default"/>
        </w:rPr>
      </w:lvl>
    </w:lvlOverride>
    <w:lvlOverride w:ilvl="6">
      <w:lvl w:ilvl="6">
        <w:start w:val="1"/>
        <w:numFmt w:val="decimal"/>
        <w:lvlText w:val="%1.%2.%3.%4.%5.%6.%7."/>
        <w:lvlJc w:val="left"/>
        <w:pPr>
          <w:ind w:left="2494" w:hanging="454"/>
        </w:pPr>
        <w:rPr>
          <w:rFonts w:cs="Times New Roman" w:hint="default"/>
        </w:rPr>
      </w:lvl>
    </w:lvlOverride>
    <w:lvlOverride w:ilvl="7">
      <w:lvl w:ilvl="7">
        <w:start w:val="1"/>
        <w:numFmt w:val="decimal"/>
        <w:lvlText w:val="%1.%2.%3.%4.%5.%6.%7.%8."/>
        <w:lvlJc w:val="left"/>
        <w:pPr>
          <w:ind w:left="2834" w:hanging="454"/>
        </w:pPr>
        <w:rPr>
          <w:rFonts w:cs="Times New Roman" w:hint="default"/>
        </w:rPr>
      </w:lvl>
    </w:lvlOverride>
    <w:lvlOverride w:ilvl="8">
      <w:lvl w:ilvl="8">
        <w:start w:val="1"/>
        <w:numFmt w:val="decimal"/>
        <w:lvlText w:val="%1.%2.%3.%4.%5.%6.%7.%8.%9."/>
        <w:lvlJc w:val="left"/>
        <w:pPr>
          <w:ind w:left="3174" w:hanging="454"/>
        </w:pPr>
        <w:rPr>
          <w:rFonts w:cs="Times New Roman" w:hint="default"/>
        </w:rPr>
      </w:lvl>
    </w:lvlOverride>
  </w:num>
  <w:num w:numId="22">
    <w:abstractNumId w:val="14"/>
    <w:lvlOverride w:ilvl="0">
      <w:lvl w:ilvl="0">
        <w:start w:val="1"/>
        <w:numFmt w:val="bullet"/>
        <w:lvlText w:val=""/>
        <w:lvlJc w:val="left"/>
        <w:pPr>
          <w:ind w:left="596" w:hanging="454"/>
        </w:pPr>
        <w:rPr>
          <w:rFonts w:ascii="MS Reference Specialty" w:hAnsi="MS Reference Specialty" w:hint="default"/>
          <w:color w:val="943634" w:themeColor="accent2" w:themeShade="BF"/>
        </w:rPr>
      </w:lvl>
    </w:lvlOverride>
  </w:num>
  <w:num w:numId="23">
    <w:abstractNumId w:val="18"/>
  </w:num>
  <w:num w:numId="24">
    <w:abstractNumId w:val="1"/>
  </w:num>
  <w:num w:numId="25">
    <w:abstractNumId w:val="10"/>
  </w:num>
  <w:num w:numId="26">
    <w:abstractNumId w:val="7"/>
    <w:lvlOverride w:ilvl="0">
      <w:lvl w:ilvl="0">
        <w:start w:val="1"/>
        <w:numFmt w:val="decimal"/>
        <w:lvlText w:val="%1."/>
        <w:lvlJc w:val="left"/>
        <w:pPr>
          <w:ind w:left="454" w:hanging="454"/>
        </w:pPr>
        <w:rPr>
          <w:rFonts w:cs="Times New Roman" w:hint="default"/>
          <w:color w:val="843C3C"/>
        </w:rPr>
      </w:lvl>
    </w:lvlOverride>
  </w:num>
  <w:num w:numId="27">
    <w:abstractNumId w:val="5"/>
  </w:num>
  <w:num w:numId="28">
    <w:abstractNumId w:val="15"/>
    <w:lvlOverride w:ilvl="0">
      <w:lvl w:ilvl="0">
        <w:start w:val="1"/>
        <w:numFmt w:val="bullet"/>
        <w:lvlText w:val=""/>
        <w:lvlJc w:val="left"/>
        <w:pPr>
          <w:ind w:left="596" w:hanging="454"/>
        </w:pPr>
        <w:rPr>
          <w:rFonts w:ascii="MS Reference Specialty" w:hAnsi="MS Reference Specialty" w:hint="default"/>
          <w:color w:val="843C3C"/>
          <w:sz w:val="24"/>
        </w:rPr>
      </w:lvl>
    </w:lvlOverride>
    <w:lvlOverride w:ilvl="1">
      <w:lvl w:ilvl="1">
        <w:start w:val="1"/>
        <w:numFmt w:val="bullet"/>
        <w:lvlText w:val=""/>
        <w:lvlJc w:val="left"/>
        <w:pPr>
          <w:ind w:left="794" w:hanging="454"/>
        </w:pPr>
        <w:rPr>
          <w:rFonts w:ascii="MS Reference Specialty" w:hAnsi="MS Reference Specialty" w:hint="default"/>
          <w:color w:val="843C3C"/>
        </w:rPr>
      </w:lvl>
    </w:lvlOverride>
    <w:lvlOverride w:ilvl="2">
      <w:lvl w:ilvl="2">
        <w:start w:val="1"/>
        <w:numFmt w:val="bullet"/>
        <w:lvlText w:val=""/>
        <w:lvlJc w:val="left"/>
        <w:pPr>
          <w:ind w:left="1134" w:hanging="454"/>
        </w:pPr>
        <w:rPr>
          <w:rFonts w:ascii="MS Reference Specialty" w:hAnsi="MS Reference Specialty" w:hint="default"/>
          <w:color w:val="843C3C"/>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9">
    <w:abstractNumId w:val="2"/>
  </w:num>
  <w:num w:numId="30">
    <w:abstractNumId w:val="3"/>
    <w:lvlOverride w:ilvl="0">
      <w:lvl w:ilvl="0">
        <w:start w:val="1"/>
        <w:numFmt w:val="bullet"/>
        <w:lvlText w:val=""/>
        <w:lvlJc w:val="left"/>
        <w:pPr>
          <w:ind w:left="596" w:hanging="454"/>
        </w:pPr>
        <w:rPr>
          <w:rFonts w:ascii="MS Reference Specialty" w:hAnsi="MS Reference Specialty" w:hint="default"/>
          <w:color w:val="943634" w:themeColor="accent2" w:themeShade="BF"/>
        </w:rPr>
      </w:lvl>
    </w:lvlOverride>
  </w:num>
  <w:num w:numId="31">
    <w:abstractNumId w:val="6"/>
    <w:lvlOverride w:ilvl="0">
      <w:lvl w:ilvl="0">
        <w:numFmt w:val="decimal"/>
        <w:lvlText w:val=""/>
        <w:lvlJc w:val="left"/>
      </w:lvl>
    </w:lvlOverride>
    <w:lvlOverride w:ilvl="1">
      <w:lvl w:ilvl="1">
        <w:start w:val="1"/>
        <w:numFmt w:val="bullet"/>
        <w:lvlText w:val=""/>
        <w:lvlJc w:val="left"/>
        <w:pPr>
          <w:ind w:left="794" w:hanging="454"/>
        </w:pPr>
        <w:rPr>
          <w:rFonts w:ascii="MS Reference Specialty" w:hAnsi="MS Reference Specialty" w:hint="default"/>
          <w:color w:val="943634" w:themeColor="accent2" w:themeShade="BF"/>
          <w:sz w:val="24"/>
          <w:szCs w:val="24"/>
        </w:rPr>
      </w:lvl>
    </w:lvlOverride>
    <w:lvlOverride w:ilvl="2">
      <w:lvl w:ilvl="2">
        <w:start w:val="1"/>
        <w:numFmt w:val="bullet"/>
        <w:lvlText w:val=""/>
        <w:lvlJc w:val="left"/>
        <w:pPr>
          <w:ind w:left="1134" w:hanging="454"/>
        </w:pPr>
        <w:rPr>
          <w:rFonts w:ascii="MS Reference Specialty" w:hAnsi="MS Reference Specialty" w:hint="default"/>
          <w:color w:val="943634" w:themeColor="accent2" w:themeShade="BF"/>
        </w:rPr>
      </w:lvl>
    </w:lvlOverride>
  </w:num>
  <w:num w:numId="32">
    <w:abstractNumId w:val="15"/>
    <w:lvlOverride w:ilvl="0">
      <w:lvl w:ilvl="0">
        <w:start w:val="1"/>
        <w:numFmt w:val="bullet"/>
        <w:lvlText w:val=""/>
        <w:lvlJc w:val="left"/>
        <w:pPr>
          <w:ind w:left="596" w:hanging="454"/>
        </w:pPr>
        <w:rPr>
          <w:rFonts w:ascii="MS Reference Specialty" w:hAnsi="MS Reference Specialty" w:hint="default"/>
          <w:color w:val="843C3C"/>
          <w:sz w:val="24"/>
        </w:rPr>
      </w:lvl>
    </w:lvlOverride>
    <w:lvlOverride w:ilvl="1">
      <w:lvl w:ilvl="1">
        <w:start w:val="1"/>
        <w:numFmt w:val="bullet"/>
        <w:lvlText w:val=""/>
        <w:lvlJc w:val="left"/>
        <w:pPr>
          <w:ind w:left="794" w:hanging="454"/>
        </w:pPr>
        <w:rPr>
          <w:rFonts w:ascii="MS Reference Specialty" w:hAnsi="MS Reference Specialty" w:hint="default"/>
          <w:color w:val="843C3C"/>
        </w:rPr>
      </w:lvl>
    </w:lvlOverride>
    <w:lvlOverride w:ilvl="2">
      <w:lvl w:ilvl="2">
        <w:start w:val="1"/>
        <w:numFmt w:val="bullet"/>
        <w:lvlText w:val=""/>
        <w:lvlJc w:val="left"/>
        <w:pPr>
          <w:ind w:left="1134" w:hanging="454"/>
        </w:pPr>
        <w:rPr>
          <w:rFonts w:ascii="MS Reference Specialty" w:hAnsi="MS Reference Specialty" w:hint="default"/>
          <w:color w:val="843C3C"/>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8"/>
    <w:lvlOverride w:ilvl="0">
      <w:lvl w:ilvl="0">
        <w:start w:val="1"/>
        <w:numFmt w:val="bullet"/>
        <w:lvlText w:val=""/>
        <w:lvlJc w:val="left"/>
        <w:pPr>
          <w:ind w:left="596" w:hanging="454"/>
        </w:pPr>
        <w:rPr>
          <w:rFonts w:ascii="MS Reference Specialty" w:hAnsi="MS Reference Specialty" w:hint="default"/>
          <w:color w:val="943634" w:themeColor="accent2" w:themeShade="BF"/>
        </w:rPr>
      </w:lvl>
    </w:lvlOverride>
    <w:lvlOverride w:ilvl="1">
      <w:lvl w:ilvl="1">
        <w:start w:val="1"/>
        <w:numFmt w:val="bullet"/>
        <w:lvlText w:val=""/>
        <w:lvlJc w:val="left"/>
        <w:pPr>
          <w:ind w:left="794" w:hanging="454"/>
        </w:pPr>
        <w:rPr>
          <w:rFonts w:ascii="MS Reference Specialty" w:hAnsi="MS Reference Specialty" w:hint="default"/>
          <w:color w:val="943634" w:themeColor="accent2" w:themeShade="BF"/>
        </w:rPr>
      </w:lvl>
    </w:lvlOverride>
    <w:lvlOverride w:ilvl="2">
      <w:lvl w:ilvl="2">
        <w:start w:val="1"/>
        <w:numFmt w:val="bullet"/>
        <w:lvlText w:val=""/>
        <w:lvlJc w:val="left"/>
        <w:pPr>
          <w:ind w:left="1134" w:hanging="454"/>
        </w:pPr>
        <w:rPr>
          <w:rFonts w:ascii="MS Reference Specialty" w:hAnsi="MS Reference Specialty" w:hint="default"/>
          <w:color w:val="943634" w:themeColor="accent2" w:themeShade="BF"/>
        </w:rPr>
      </w:lvl>
    </w:lvlOverride>
  </w:num>
  <w:num w:numId="34">
    <w:abstractNumId w:val="13"/>
  </w:num>
  <w:num w:numId="35">
    <w:abstractNumId w:val="22"/>
  </w:num>
  <w:num w:numId="36">
    <w:abstractNumId w:val="23"/>
  </w:num>
  <w:num w:numId="37">
    <w:abstractNumId w:val="6"/>
    <w:lvlOverride w:ilvl="1">
      <w:lvl w:ilvl="1">
        <w:start w:val="1"/>
        <w:numFmt w:val="bullet"/>
        <w:lvlText w:val=""/>
        <w:lvlJc w:val="left"/>
        <w:pPr>
          <w:ind w:left="794" w:hanging="454"/>
        </w:pPr>
        <w:rPr>
          <w:rFonts w:ascii="MS Reference Specialty" w:hAnsi="MS Reference Specialty" w:hint="default"/>
          <w:color w:val="943634" w:themeColor="accent2" w:themeShade="BF"/>
        </w:rPr>
      </w:lvl>
    </w:lvlOverride>
  </w:num>
  <w:num w:numId="38">
    <w:abstractNumId w:val="6"/>
    <w:lvlOverride w:ilvl="0">
      <w:lvl w:ilvl="0">
        <w:start w:val="1"/>
        <w:numFmt w:val="decimal"/>
        <w:lvlText w:val=""/>
        <w:lvlJc w:val="left"/>
        <w:pPr>
          <w:ind w:left="0" w:firstLine="0"/>
        </w:pPr>
        <w:rPr>
          <w:rFonts w:ascii="MS Reference Specialty" w:hAnsi="MS Reference Specialty" w:hint="default"/>
          <w:color w:val="3C5184"/>
        </w:rPr>
      </w:lvl>
    </w:lvlOverride>
    <w:lvlOverride w:ilvl="1">
      <w:lvl w:ilvl="1">
        <w:start w:val="1"/>
        <w:numFmt w:val="bullet"/>
        <w:lvlText w:val=""/>
        <w:lvlJc w:val="left"/>
        <w:pPr>
          <w:ind w:left="794" w:hanging="454"/>
        </w:pPr>
        <w:rPr>
          <w:rFonts w:ascii="MS Reference Specialty" w:hAnsi="MS Reference Specialty" w:hint="default"/>
          <w:color w:val="17365D" w:themeColor="text2" w:themeShade="BF"/>
          <w:sz w:val="24"/>
          <w:szCs w:val="24"/>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22"/>
    <w:rsid w:val="00001120"/>
    <w:rsid w:val="000074BE"/>
    <w:rsid w:val="00022A85"/>
    <w:rsid w:val="00032164"/>
    <w:rsid w:val="0005057B"/>
    <w:rsid w:val="00055E9A"/>
    <w:rsid w:val="00070697"/>
    <w:rsid w:val="00082D7E"/>
    <w:rsid w:val="000B393B"/>
    <w:rsid w:val="000B6AB7"/>
    <w:rsid w:val="000D0421"/>
    <w:rsid w:val="000F261B"/>
    <w:rsid w:val="000F5471"/>
    <w:rsid w:val="00101B14"/>
    <w:rsid w:val="00102A7B"/>
    <w:rsid w:val="001277FA"/>
    <w:rsid w:val="001442C9"/>
    <w:rsid w:val="001474EA"/>
    <w:rsid w:val="00150DC3"/>
    <w:rsid w:val="00155FA1"/>
    <w:rsid w:val="001573F8"/>
    <w:rsid w:val="0016746D"/>
    <w:rsid w:val="00171C7C"/>
    <w:rsid w:val="00181ECF"/>
    <w:rsid w:val="0018394E"/>
    <w:rsid w:val="00184E69"/>
    <w:rsid w:val="001A68C7"/>
    <w:rsid w:val="001A74F7"/>
    <w:rsid w:val="001D0DF5"/>
    <w:rsid w:val="001E2AEF"/>
    <w:rsid w:val="001E47BA"/>
    <w:rsid w:val="001E59F2"/>
    <w:rsid w:val="001E65DB"/>
    <w:rsid w:val="001F17F5"/>
    <w:rsid w:val="00200FD0"/>
    <w:rsid w:val="00204A12"/>
    <w:rsid w:val="0020528A"/>
    <w:rsid w:val="002058D8"/>
    <w:rsid w:val="00212CE7"/>
    <w:rsid w:val="002342AC"/>
    <w:rsid w:val="002472F0"/>
    <w:rsid w:val="00251624"/>
    <w:rsid w:val="00277FA2"/>
    <w:rsid w:val="00281352"/>
    <w:rsid w:val="00282208"/>
    <w:rsid w:val="00294F53"/>
    <w:rsid w:val="00296C54"/>
    <w:rsid w:val="00297FF6"/>
    <w:rsid w:val="002A42BC"/>
    <w:rsid w:val="002B0277"/>
    <w:rsid w:val="002B07B2"/>
    <w:rsid w:val="002C7FAA"/>
    <w:rsid w:val="002D3B35"/>
    <w:rsid w:val="002D5B14"/>
    <w:rsid w:val="002D62C4"/>
    <w:rsid w:val="002D6E38"/>
    <w:rsid w:val="002D7537"/>
    <w:rsid w:val="002E1149"/>
    <w:rsid w:val="002E17E5"/>
    <w:rsid w:val="002F1FA1"/>
    <w:rsid w:val="002F44B4"/>
    <w:rsid w:val="002F6E25"/>
    <w:rsid w:val="003041EE"/>
    <w:rsid w:val="003110AA"/>
    <w:rsid w:val="0031324A"/>
    <w:rsid w:val="00314D95"/>
    <w:rsid w:val="003218E4"/>
    <w:rsid w:val="0032210C"/>
    <w:rsid w:val="003406CC"/>
    <w:rsid w:val="00344BF2"/>
    <w:rsid w:val="00357B3B"/>
    <w:rsid w:val="00376FCF"/>
    <w:rsid w:val="00391E76"/>
    <w:rsid w:val="003B603E"/>
    <w:rsid w:val="003C2AA2"/>
    <w:rsid w:val="003D1D0C"/>
    <w:rsid w:val="003E169D"/>
    <w:rsid w:val="003E4363"/>
    <w:rsid w:val="003F1755"/>
    <w:rsid w:val="00423505"/>
    <w:rsid w:val="00460411"/>
    <w:rsid w:val="00462527"/>
    <w:rsid w:val="00466407"/>
    <w:rsid w:val="00476EF5"/>
    <w:rsid w:val="00482F9A"/>
    <w:rsid w:val="004A0B59"/>
    <w:rsid w:val="004A6510"/>
    <w:rsid w:val="004B0C1D"/>
    <w:rsid w:val="004B16A4"/>
    <w:rsid w:val="004B5C19"/>
    <w:rsid w:val="004C42C5"/>
    <w:rsid w:val="004D28E0"/>
    <w:rsid w:val="004D6921"/>
    <w:rsid w:val="004F0B75"/>
    <w:rsid w:val="00502C86"/>
    <w:rsid w:val="00510E2C"/>
    <w:rsid w:val="005130C5"/>
    <w:rsid w:val="005159F9"/>
    <w:rsid w:val="005200E5"/>
    <w:rsid w:val="00561630"/>
    <w:rsid w:val="00566C42"/>
    <w:rsid w:val="005716CA"/>
    <w:rsid w:val="00577E59"/>
    <w:rsid w:val="0058641C"/>
    <w:rsid w:val="005A01FB"/>
    <w:rsid w:val="005A0533"/>
    <w:rsid w:val="005B3632"/>
    <w:rsid w:val="005B41D6"/>
    <w:rsid w:val="005B4231"/>
    <w:rsid w:val="005B4ED0"/>
    <w:rsid w:val="005B73D9"/>
    <w:rsid w:val="005C51DF"/>
    <w:rsid w:val="005C6C9C"/>
    <w:rsid w:val="005F0A94"/>
    <w:rsid w:val="005F7688"/>
    <w:rsid w:val="00604F59"/>
    <w:rsid w:val="00615D3D"/>
    <w:rsid w:val="006256FF"/>
    <w:rsid w:val="00633F34"/>
    <w:rsid w:val="00641426"/>
    <w:rsid w:val="006467CC"/>
    <w:rsid w:val="00655AAA"/>
    <w:rsid w:val="006642CC"/>
    <w:rsid w:val="00672A5D"/>
    <w:rsid w:val="006A50B6"/>
    <w:rsid w:val="006D22FB"/>
    <w:rsid w:val="006E050C"/>
    <w:rsid w:val="006F3D5C"/>
    <w:rsid w:val="0070509A"/>
    <w:rsid w:val="007054D2"/>
    <w:rsid w:val="00717BAC"/>
    <w:rsid w:val="0072245A"/>
    <w:rsid w:val="00723598"/>
    <w:rsid w:val="0074444C"/>
    <w:rsid w:val="00746A68"/>
    <w:rsid w:val="00750BD5"/>
    <w:rsid w:val="00763214"/>
    <w:rsid w:val="00763603"/>
    <w:rsid w:val="0077184B"/>
    <w:rsid w:val="007773FB"/>
    <w:rsid w:val="00777971"/>
    <w:rsid w:val="00783FED"/>
    <w:rsid w:val="007A03FD"/>
    <w:rsid w:val="007A190E"/>
    <w:rsid w:val="00804589"/>
    <w:rsid w:val="00811AA5"/>
    <w:rsid w:val="00821FC7"/>
    <w:rsid w:val="0084316F"/>
    <w:rsid w:val="00844955"/>
    <w:rsid w:val="00851317"/>
    <w:rsid w:val="00852744"/>
    <w:rsid w:val="008537D9"/>
    <w:rsid w:val="00855783"/>
    <w:rsid w:val="00863E64"/>
    <w:rsid w:val="008819ED"/>
    <w:rsid w:val="00883E22"/>
    <w:rsid w:val="008917F7"/>
    <w:rsid w:val="0089765E"/>
    <w:rsid w:val="008B64E0"/>
    <w:rsid w:val="008C1DD9"/>
    <w:rsid w:val="008C6F6B"/>
    <w:rsid w:val="008E5448"/>
    <w:rsid w:val="008F1769"/>
    <w:rsid w:val="008F31A5"/>
    <w:rsid w:val="0090005A"/>
    <w:rsid w:val="009062F7"/>
    <w:rsid w:val="009066C7"/>
    <w:rsid w:val="00913EAF"/>
    <w:rsid w:val="0091528E"/>
    <w:rsid w:val="009227B7"/>
    <w:rsid w:val="009379DC"/>
    <w:rsid w:val="009451C8"/>
    <w:rsid w:val="00957E45"/>
    <w:rsid w:val="00961794"/>
    <w:rsid w:val="009739A5"/>
    <w:rsid w:val="00974BF8"/>
    <w:rsid w:val="00977967"/>
    <w:rsid w:val="00980F7C"/>
    <w:rsid w:val="0098133A"/>
    <w:rsid w:val="00992C7E"/>
    <w:rsid w:val="009951A1"/>
    <w:rsid w:val="009A0982"/>
    <w:rsid w:val="009A1411"/>
    <w:rsid w:val="009A29A5"/>
    <w:rsid w:val="009A6680"/>
    <w:rsid w:val="009A792F"/>
    <w:rsid w:val="009B44AC"/>
    <w:rsid w:val="009B6BC4"/>
    <w:rsid w:val="009C1F72"/>
    <w:rsid w:val="009C3DAC"/>
    <w:rsid w:val="009E110B"/>
    <w:rsid w:val="009F2F57"/>
    <w:rsid w:val="009F7522"/>
    <w:rsid w:val="00A00A50"/>
    <w:rsid w:val="00A0212F"/>
    <w:rsid w:val="00A16781"/>
    <w:rsid w:val="00A27D76"/>
    <w:rsid w:val="00A31E59"/>
    <w:rsid w:val="00A35428"/>
    <w:rsid w:val="00A46562"/>
    <w:rsid w:val="00A60DA4"/>
    <w:rsid w:val="00A6184B"/>
    <w:rsid w:val="00A651FF"/>
    <w:rsid w:val="00A83AA3"/>
    <w:rsid w:val="00AA1C18"/>
    <w:rsid w:val="00AB7037"/>
    <w:rsid w:val="00AC189C"/>
    <w:rsid w:val="00AC7062"/>
    <w:rsid w:val="00AC76CE"/>
    <w:rsid w:val="00AD30A4"/>
    <w:rsid w:val="00AD53D5"/>
    <w:rsid w:val="00AE7039"/>
    <w:rsid w:val="00AE7EBC"/>
    <w:rsid w:val="00AF4BA9"/>
    <w:rsid w:val="00B064FE"/>
    <w:rsid w:val="00B17FCB"/>
    <w:rsid w:val="00B31B04"/>
    <w:rsid w:val="00B34134"/>
    <w:rsid w:val="00B41984"/>
    <w:rsid w:val="00B41CB3"/>
    <w:rsid w:val="00B46128"/>
    <w:rsid w:val="00B46F7C"/>
    <w:rsid w:val="00B47F6A"/>
    <w:rsid w:val="00B62937"/>
    <w:rsid w:val="00B70AC8"/>
    <w:rsid w:val="00B92000"/>
    <w:rsid w:val="00B92794"/>
    <w:rsid w:val="00BB0505"/>
    <w:rsid w:val="00BC4D04"/>
    <w:rsid w:val="00BD6695"/>
    <w:rsid w:val="00BD7A05"/>
    <w:rsid w:val="00BD7D42"/>
    <w:rsid w:val="00BE6FE9"/>
    <w:rsid w:val="00BF13B4"/>
    <w:rsid w:val="00BF6F17"/>
    <w:rsid w:val="00C010AE"/>
    <w:rsid w:val="00C017CC"/>
    <w:rsid w:val="00C07B69"/>
    <w:rsid w:val="00C311C8"/>
    <w:rsid w:val="00C31C07"/>
    <w:rsid w:val="00C32498"/>
    <w:rsid w:val="00C337DF"/>
    <w:rsid w:val="00C70AE1"/>
    <w:rsid w:val="00C81C97"/>
    <w:rsid w:val="00C84520"/>
    <w:rsid w:val="00C87F87"/>
    <w:rsid w:val="00CA4557"/>
    <w:rsid w:val="00CA6DEE"/>
    <w:rsid w:val="00CB2131"/>
    <w:rsid w:val="00CC145F"/>
    <w:rsid w:val="00CC6792"/>
    <w:rsid w:val="00CD0122"/>
    <w:rsid w:val="00CD2F13"/>
    <w:rsid w:val="00CD4189"/>
    <w:rsid w:val="00CD65B9"/>
    <w:rsid w:val="00CD73AD"/>
    <w:rsid w:val="00CE023A"/>
    <w:rsid w:val="00CE7C50"/>
    <w:rsid w:val="00CF08F8"/>
    <w:rsid w:val="00CF6C06"/>
    <w:rsid w:val="00CF7858"/>
    <w:rsid w:val="00D10D0F"/>
    <w:rsid w:val="00D21229"/>
    <w:rsid w:val="00D257A7"/>
    <w:rsid w:val="00D33B56"/>
    <w:rsid w:val="00D47392"/>
    <w:rsid w:val="00D553AF"/>
    <w:rsid w:val="00D61085"/>
    <w:rsid w:val="00D67616"/>
    <w:rsid w:val="00D964A4"/>
    <w:rsid w:val="00D969CE"/>
    <w:rsid w:val="00D96CBA"/>
    <w:rsid w:val="00DB344A"/>
    <w:rsid w:val="00DC7CA0"/>
    <w:rsid w:val="00DE12A7"/>
    <w:rsid w:val="00DE2D60"/>
    <w:rsid w:val="00DE3D87"/>
    <w:rsid w:val="00DE4507"/>
    <w:rsid w:val="00DF4E4E"/>
    <w:rsid w:val="00E0352B"/>
    <w:rsid w:val="00E069FB"/>
    <w:rsid w:val="00E10D17"/>
    <w:rsid w:val="00E16427"/>
    <w:rsid w:val="00E2106A"/>
    <w:rsid w:val="00E26EBD"/>
    <w:rsid w:val="00E34BAE"/>
    <w:rsid w:val="00E61694"/>
    <w:rsid w:val="00E72E27"/>
    <w:rsid w:val="00E77F3E"/>
    <w:rsid w:val="00E817B8"/>
    <w:rsid w:val="00E87632"/>
    <w:rsid w:val="00E92D80"/>
    <w:rsid w:val="00E95637"/>
    <w:rsid w:val="00E95781"/>
    <w:rsid w:val="00EA0AE1"/>
    <w:rsid w:val="00EA370D"/>
    <w:rsid w:val="00EB22C1"/>
    <w:rsid w:val="00EB412F"/>
    <w:rsid w:val="00EC2BEA"/>
    <w:rsid w:val="00ED662C"/>
    <w:rsid w:val="00EE7612"/>
    <w:rsid w:val="00EF0896"/>
    <w:rsid w:val="00F00130"/>
    <w:rsid w:val="00F215B4"/>
    <w:rsid w:val="00F37F04"/>
    <w:rsid w:val="00F40C6B"/>
    <w:rsid w:val="00F4110F"/>
    <w:rsid w:val="00F41D49"/>
    <w:rsid w:val="00F44493"/>
    <w:rsid w:val="00F71088"/>
    <w:rsid w:val="00F726E3"/>
    <w:rsid w:val="00F8521C"/>
    <w:rsid w:val="00FB7AF0"/>
    <w:rsid w:val="00FC389A"/>
    <w:rsid w:val="00FC6C27"/>
    <w:rsid w:val="00FC7670"/>
    <w:rsid w:val="00FD0739"/>
    <w:rsid w:val="00FE653E"/>
    <w:rsid w:val="00FE72D6"/>
    <w:rsid w:val="00FF62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703B52E5"/>
  <w14:defaultImageDpi w14:val="96"/>
  <w15:docId w15:val="{03C20E71-AC9E-4677-B8A1-1F0F1829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7CC"/>
    <w:pPr>
      <w:spacing w:after="200" w:line="276" w:lineRule="auto"/>
      <w:jc w:val="both"/>
    </w:pPr>
    <w:rPr>
      <w:rFonts w:cs="Times New Roman"/>
      <w:sz w:val="24"/>
      <w:szCs w:val="22"/>
      <w:lang w:eastAsia="en-US"/>
    </w:rPr>
  </w:style>
  <w:style w:type="paragraph" w:styleId="Ttulo1">
    <w:name w:val="heading 1"/>
    <w:aliases w:val="Título 1_jj"/>
    <w:basedOn w:val="Normal"/>
    <w:next w:val="Normal"/>
    <w:link w:val="Ttulo1Car"/>
    <w:uiPriority w:val="9"/>
    <w:qFormat/>
    <w:rsid w:val="005200E5"/>
    <w:pPr>
      <w:keepNext/>
      <w:keepLines/>
      <w:spacing w:before="480" w:after="240"/>
      <w:outlineLvl w:val="0"/>
    </w:pPr>
    <w:rPr>
      <w:rFonts w:ascii="Cambria" w:hAnsi="Cambria"/>
      <w:b/>
      <w:color w:val="843C3C"/>
      <w:sz w:val="28"/>
      <w:szCs w:val="20"/>
      <w:lang w:eastAsia="es-ES"/>
    </w:rPr>
  </w:style>
  <w:style w:type="paragraph" w:styleId="Ttulo2">
    <w:name w:val="heading 2"/>
    <w:basedOn w:val="Normal"/>
    <w:next w:val="Normal"/>
    <w:link w:val="Ttulo2Car"/>
    <w:uiPriority w:val="9"/>
    <w:unhideWhenUsed/>
    <w:qFormat/>
    <w:rsid w:val="00E77F3E"/>
    <w:pPr>
      <w:keepNext/>
      <w:keepLines/>
      <w:spacing w:before="240" w:after="120"/>
      <w:ind w:left="1106" w:hanging="709"/>
      <w:mirrorIndents/>
      <w:outlineLvl w:val="1"/>
    </w:pPr>
    <w:rPr>
      <w:rFonts w:ascii="Cambria" w:hAnsi="Cambria"/>
      <w:b/>
      <w:color w:val="5B5B5B"/>
      <w:sz w:val="26"/>
      <w:szCs w:val="20"/>
      <w:lang w:eastAsia="es-ES"/>
    </w:rPr>
  </w:style>
  <w:style w:type="paragraph" w:styleId="Ttulo3">
    <w:name w:val="heading 3"/>
    <w:basedOn w:val="Normal"/>
    <w:next w:val="Normal"/>
    <w:link w:val="Ttulo3Car"/>
    <w:uiPriority w:val="9"/>
    <w:unhideWhenUsed/>
    <w:qFormat/>
    <w:rsid w:val="00804589"/>
    <w:pPr>
      <w:keepNext/>
      <w:keepLines/>
      <w:spacing w:before="200" w:after="120" w:line="360" w:lineRule="auto"/>
      <w:ind w:left="1418" w:hanging="709"/>
      <w:outlineLvl w:val="2"/>
    </w:pPr>
    <w:rPr>
      <w:rFonts w:ascii="Cambria" w:hAnsi="Cambria"/>
      <w:b/>
      <w:color w:val="7A7A7A"/>
      <w:sz w:val="26"/>
      <w:szCs w:val="20"/>
      <w:lang w:eastAsia="es-ES"/>
    </w:rPr>
  </w:style>
  <w:style w:type="paragraph" w:styleId="Ttulo4">
    <w:name w:val="heading 4"/>
    <w:basedOn w:val="Normal"/>
    <w:next w:val="Normal"/>
    <w:link w:val="Ttulo4Car"/>
    <w:uiPriority w:val="9"/>
    <w:unhideWhenUsed/>
    <w:rsid w:val="00604F59"/>
    <w:pPr>
      <w:keepNext/>
      <w:keepLines/>
      <w:spacing w:before="200" w:after="0"/>
      <w:outlineLvl w:val="3"/>
    </w:pPr>
    <w:rPr>
      <w:rFonts w:ascii="Cambria" w:hAnsi="Cambria"/>
      <w:b/>
      <w:i/>
      <w:color w:val="7A7A7A"/>
      <w:szCs w:val="20"/>
      <w:lang w:eastAsia="es-ES"/>
    </w:rPr>
  </w:style>
  <w:style w:type="paragraph" w:styleId="Ttulo5">
    <w:name w:val="heading 5"/>
    <w:basedOn w:val="Normal"/>
    <w:next w:val="Normal"/>
    <w:link w:val="Ttulo5Car"/>
    <w:uiPriority w:val="9"/>
    <w:unhideWhenUsed/>
    <w:rsid w:val="00604F59"/>
    <w:pPr>
      <w:keepNext/>
      <w:keepLines/>
      <w:spacing w:before="200" w:after="0"/>
      <w:outlineLvl w:val="4"/>
    </w:pPr>
    <w:rPr>
      <w:rFonts w:ascii="Cambria" w:hAnsi="Cambria"/>
      <w:color w:val="3C3C3C"/>
      <w:szCs w:val="20"/>
      <w:lang w:eastAsia="es-ES"/>
    </w:rPr>
  </w:style>
  <w:style w:type="paragraph" w:styleId="Ttulo6">
    <w:name w:val="heading 6"/>
    <w:basedOn w:val="Normal"/>
    <w:next w:val="Normal"/>
    <w:link w:val="Ttulo6Car"/>
    <w:uiPriority w:val="9"/>
    <w:unhideWhenUsed/>
    <w:rsid w:val="00604F59"/>
    <w:pPr>
      <w:keepNext/>
      <w:keepLines/>
      <w:spacing w:before="200" w:after="0"/>
      <w:outlineLvl w:val="5"/>
    </w:pPr>
    <w:rPr>
      <w:rFonts w:ascii="Cambria" w:hAnsi="Cambria"/>
      <w:i/>
      <w:color w:val="3C3C3C"/>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_jj Car"/>
    <w:link w:val="Ttulo1"/>
    <w:uiPriority w:val="9"/>
    <w:locked/>
    <w:rsid w:val="005200E5"/>
    <w:rPr>
      <w:rFonts w:ascii="Cambria" w:hAnsi="Cambria" w:cs="Times New Roman"/>
      <w:b/>
      <w:color w:val="843C3C"/>
      <w:sz w:val="28"/>
    </w:rPr>
  </w:style>
  <w:style w:type="character" w:customStyle="1" w:styleId="Ttulo2Car">
    <w:name w:val="Título 2 Car"/>
    <w:link w:val="Ttulo2"/>
    <w:uiPriority w:val="9"/>
    <w:locked/>
    <w:rsid w:val="00E77F3E"/>
    <w:rPr>
      <w:rFonts w:ascii="Cambria" w:hAnsi="Cambria" w:cs="Times New Roman"/>
      <w:b/>
      <w:color w:val="5B5B5B"/>
      <w:sz w:val="26"/>
    </w:rPr>
  </w:style>
  <w:style w:type="character" w:customStyle="1" w:styleId="Ttulo3Car">
    <w:name w:val="Título 3 Car"/>
    <w:link w:val="Ttulo3"/>
    <w:uiPriority w:val="9"/>
    <w:locked/>
    <w:rsid w:val="00804589"/>
    <w:rPr>
      <w:rFonts w:ascii="Cambria" w:hAnsi="Cambria" w:cs="Times New Roman"/>
      <w:b/>
      <w:color w:val="7A7A7A"/>
      <w:sz w:val="26"/>
    </w:rPr>
  </w:style>
  <w:style w:type="character" w:customStyle="1" w:styleId="Ttulo4Car">
    <w:name w:val="Título 4 Car"/>
    <w:link w:val="Ttulo4"/>
    <w:uiPriority w:val="9"/>
    <w:locked/>
    <w:rsid w:val="00604F59"/>
    <w:rPr>
      <w:rFonts w:ascii="Cambria" w:hAnsi="Cambria"/>
      <w:b/>
      <w:i/>
      <w:color w:val="7A7A7A"/>
      <w:sz w:val="24"/>
    </w:rPr>
  </w:style>
  <w:style w:type="character" w:customStyle="1" w:styleId="Ttulo5Car">
    <w:name w:val="Título 5 Car"/>
    <w:link w:val="Ttulo5"/>
    <w:uiPriority w:val="9"/>
    <w:locked/>
    <w:rsid w:val="00604F59"/>
    <w:rPr>
      <w:rFonts w:ascii="Cambria" w:hAnsi="Cambria"/>
      <w:color w:val="3C3C3C"/>
      <w:sz w:val="24"/>
    </w:rPr>
  </w:style>
  <w:style w:type="character" w:customStyle="1" w:styleId="Ttulo6Car">
    <w:name w:val="Título 6 Car"/>
    <w:link w:val="Ttulo6"/>
    <w:uiPriority w:val="9"/>
    <w:locked/>
    <w:rsid w:val="00604F59"/>
    <w:rPr>
      <w:rFonts w:ascii="Cambria" w:hAnsi="Cambria"/>
      <w:i/>
      <w:color w:val="3C3C3C"/>
      <w:sz w:val="24"/>
    </w:rPr>
  </w:style>
  <w:style w:type="table" w:styleId="Tablaconcuadrcula">
    <w:name w:val="Table Grid"/>
    <w:basedOn w:val="Tablanormal"/>
    <w:uiPriority w:val="39"/>
    <w:rsid w:val="00763603"/>
    <w:rPr>
      <w:rFonts w:cs="Times New Roman"/>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basedOn w:val="Normal"/>
    <w:link w:val="SinespaciadoCar"/>
    <w:uiPriority w:val="1"/>
    <w:qFormat/>
    <w:rsid w:val="00763603"/>
    <w:pPr>
      <w:spacing w:after="0" w:line="240" w:lineRule="auto"/>
    </w:pPr>
    <w:rPr>
      <w:color w:val="000000"/>
      <w:sz w:val="20"/>
      <w:szCs w:val="20"/>
      <w:lang w:eastAsia="fr-FR"/>
    </w:rPr>
  </w:style>
  <w:style w:type="paragraph" w:styleId="Textodeglobo">
    <w:name w:val="Balloon Text"/>
    <w:basedOn w:val="Normal"/>
    <w:link w:val="TextodegloboCar"/>
    <w:uiPriority w:val="99"/>
    <w:semiHidden/>
    <w:unhideWhenUsed/>
    <w:rsid w:val="00763603"/>
    <w:pPr>
      <w:spacing w:after="0" w:line="240" w:lineRule="auto"/>
    </w:pPr>
    <w:rPr>
      <w:rFonts w:ascii="Tahoma" w:hAnsi="Tahoma"/>
      <w:sz w:val="16"/>
      <w:szCs w:val="20"/>
      <w:lang w:eastAsia="es-ES"/>
    </w:rPr>
  </w:style>
  <w:style w:type="character" w:customStyle="1" w:styleId="TextodegloboCar">
    <w:name w:val="Texto de globo Car"/>
    <w:link w:val="Textodeglobo"/>
    <w:uiPriority w:val="99"/>
    <w:semiHidden/>
    <w:locked/>
    <w:rsid w:val="00763603"/>
    <w:rPr>
      <w:rFonts w:ascii="Tahoma" w:hAnsi="Tahoma"/>
      <w:sz w:val="16"/>
    </w:rPr>
  </w:style>
  <w:style w:type="character" w:customStyle="1" w:styleId="SinespaciadoCar">
    <w:name w:val="Sin espaciado Car"/>
    <w:link w:val="Sinespaciado"/>
    <w:uiPriority w:val="1"/>
    <w:locked/>
    <w:rsid w:val="00763603"/>
    <w:rPr>
      <w:rFonts w:eastAsia="Times New Roman"/>
      <w:color w:val="000000"/>
      <w:lang w:val="x-none" w:eastAsia="fr-FR"/>
    </w:rPr>
  </w:style>
  <w:style w:type="paragraph" w:styleId="Ttulo">
    <w:name w:val="Title"/>
    <w:basedOn w:val="Normal"/>
    <w:next w:val="Normal"/>
    <w:link w:val="TtuloCar"/>
    <w:uiPriority w:val="10"/>
    <w:qFormat/>
    <w:rsid w:val="005200E5"/>
    <w:pPr>
      <w:pBdr>
        <w:bottom w:val="single" w:sz="8" w:space="4" w:color="7A7A7A"/>
      </w:pBdr>
      <w:spacing w:after="300" w:line="240" w:lineRule="auto"/>
      <w:contextualSpacing/>
    </w:pPr>
    <w:rPr>
      <w:color w:val="843C3C"/>
      <w:spacing w:val="5"/>
      <w:kern w:val="28"/>
      <w:sz w:val="52"/>
      <w:szCs w:val="20"/>
      <w:lang w:eastAsia="es-ES"/>
    </w:rPr>
  </w:style>
  <w:style w:type="character" w:customStyle="1" w:styleId="TtuloCar">
    <w:name w:val="Título Car"/>
    <w:link w:val="Ttulo"/>
    <w:uiPriority w:val="10"/>
    <w:locked/>
    <w:rsid w:val="005200E5"/>
    <w:rPr>
      <w:rFonts w:cs="Times New Roman"/>
      <w:color w:val="843C3C"/>
      <w:spacing w:val="5"/>
      <w:kern w:val="28"/>
      <w:sz w:val="52"/>
    </w:rPr>
  </w:style>
  <w:style w:type="paragraph" w:styleId="Subttulo">
    <w:name w:val="Subtitle"/>
    <w:basedOn w:val="Normal"/>
    <w:next w:val="Normal"/>
    <w:link w:val="SubttuloCar"/>
    <w:uiPriority w:val="11"/>
    <w:qFormat/>
    <w:rsid w:val="00763603"/>
    <w:pPr>
      <w:numPr>
        <w:ilvl w:val="1"/>
      </w:numPr>
    </w:pPr>
    <w:rPr>
      <w:rFonts w:ascii="Cambria" w:hAnsi="Cambria"/>
      <w:i/>
      <w:color w:val="7A7A7A"/>
      <w:spacing w:val="15"/>
      <w:szCs w:val="20"/>
      <w:lang w:eastAsia="es-ES"/>
    </w:rPr>
  </w:style>
  <w:style w:type="character" w:customStyle="1" w:styleId="SubttuloCar">
    <w:name w:val="Subtítulo Car"/>
    <w:link w:val="Subttulo"/>
    <w:uiPriority w:val="11"/>
    <w:locked/>
    <w:rsid w:val="00763603"/>
    <w:rPr>
      <w:rFonts w:ascii="Cambria" w:hAnsi="Cambria"/>
      <w:i/>
      <w:color w:val="7A7A7A"/>
      <w:spacing w:val="15"/>
      <w:sz w:val="24"/>
      <w:lang w:val="x-none" w:eastAsia="es-ES"/>
    </w:rPr>
  </w:style>
  <w:style w:type="character" w:styleId="Textodelmarcadordeposicin">
    <w:name w:val="Placeholder Text"/>
    <w:uiPriority w:val="99"/>
    <w:semiHidden/>
    <w:rsid w:val="00A651FF"/>
    <w:rPr>
      <w:color w:val="808080"/>
    </w:rPr>
  </w:style>
  <w:style w:type="paragraph" w:styleId="Encabezado">
    <w:name w:val="header"/>
    <w:basedOn w:val="Normal"/>
    <w:link w:val="EncabezadoCar"/>
    <w:uiPriority w:val="99"/>
    <w:unhideWhenUsed/>
    <w:rsid w:val="00604F59"/>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604F59"/>
  </w:style>
  <w:style w:type="paragraph" w:styleId="Piedepgina">
    <w:name w:val="footer"/>
    <w:basedOn w:val="Normal"/>
    <w:link w:val="PiedepginaCar"/>
    <w:uiPriority w:val="99"/>
    <w:unhideWhenUsed/>
    <w:rsid w:val="00604F59"/>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604F59"/>
  </w:style>
  <w:style w:type="character" w:styleId="Ttulodellibro">
    <w:name w:val="Book Title"/>
    <w:uiPriority w:val="33"/>
    <w:qFormat/>
    <w:rsid w:val="00604F59"/>
    <w:rPr>
      <w:b/>
      <w:smallCaps/>
      <w:spacing w:val="5"/>
    </w:rPr>
  </w:style>
  <w:style w:type="paragraph" w:styleId="Prrafodelista">
    <w:name w:val="List Paragraph"/>
    <w:aliases w:val="guiones,Arial 8,List Paragraph,List Paragraph1,Normal N3,Párrafo de lista1,Párrafo de lista4,Gráfico Título,Párrafo 1,Párrafo,Párrafo de lista6,Tabla,Párrafo de lista - cat,Bullet,lista graficos,Párrafo de lista11,Heading3.1,Tabl"/>
    <w:basedOn w:val="Normal"/>
    <w:link w:val="PrrafodelistaCar"/>
    <w:uiPriority w:val="34"/>
    <w:qFormat/>
    <w:rsid w:val="00281352"/>
    <w:pPr>
      <w:ind w:left="720"/>
      <w:contextualSpacing/>
    </w:pPr>
  </w:style>
  <w:style w:type="character" w:styleId="nfasissutil">
    <w:name w:val="Subtle Emphasis"/>
    <w:uiPriority w:val="19"/>
    <w:qFormat/>
    <w:rsid w:val="00C311C8"/>
    <w:rPr>
      <w:i/>
      <w:color w:val="808080"/>
    </w:rPr>
  </w:style>
  <w:style w:type="numbering" w:customStyle="1" w:styleId="Estilo2">
    <w:name w:val="Estilo2"/>
    <w:uiPriority w:val="99"/>
    <w:rsid w:val="00BA3713"/>
    <w:pPr>
      <w:numPr>
        <w:numId w:val="2"/>
      </w:numPr>
    </w:pPr>
  </w:style>
  <w:style w:type="numbering" w:customStyle="1" w:styleId="Estilo1">
    <w:name w:val="Estilo1"/>
    <w:uiPriority w:val="99"/>
    <w:rsid w:val="00BA3713"/>
    <w:pPr>
      <w:numPr>
        <w:numId w:val="1"/>
      </w:numPr>
    </w:pPr>
  </w:style>
  <w:style w:type="paragraph" w:styleId="Textonotapie">
    <w:name w:val="footnote text"/>
    <w:basedOn w:val="Normal"/>
    <w:link w:val="TextonotapieCar"/>
    <w:uiPriority w:val="99"/>
    <w:semiHidden/>
    <w:unhideWhenUsed/>
    <w:rsid w:val="00181ECF"/>
    <w:rPr>
      <w:sz w:val="20"/>
      <w:szCs w:val="20"/>
    </w:rPr>
  </w:style>
  <w:style w:type="character" w:customStyle="1" w:styleId="TextonotapieCar">
    <w:name w:val="Texto nota pie Car"/>
    <w:basedOn w:val="Fuentedeprrafopredeter"/>
    <w:link w:val="Textonotapie"/>
    <w:uiPriority w:val="99"/>
    <w:semiHidden/>
    <w:rsid w:val="00181ECF"/>
    <w:rPr>
      <w:rFonts w:cs="Times New Roman"/>
      <w:lang w:eastAsia="en-US"/>
    </w:rPr>
  </w:style>
  <w:style w:type="character" w:styleId="Refdenotaalpie">
    <w:name w:val="footnote reference"/>
    <w:uiPriority w:val="99"/>
    <w:semiHidden/>
    <w:unhideWhenUsed/>
    <w:rsid w:val="00181ECF"/>
    <w:rPr>
      <w:vertAlign w:val="superscript"/>
    </w:rPr>
  </w:style>
  <w:style w:type="character" w:customStyle="1" w:styleId="PrrafodelistaCar">
    <w:name w:val="Párrafo de lista Car"/>
    <w:aliases w:val="guiones Car,Arial 8 Car,List Paragraph Car,List Paragraph1 Car,Normal N3 Car,Párrafo de lista1 Car,Párrafo de lista4 Car,Gráfico Título Car,Párrafo 1 Car,Párrafo Car,Párrafo de lista6 Car,Tabla Car,Párrafo de lista - cat Car"/>
    <w:link w:val="Prrafodelista"/>
    <w:uiPriority w:val="34"/>
    <w:locked/>
    <w:rsid w:val="00746A68"/>
    <w:rPr>
      <w:rFonts w:cs="Times New Roman"/>
      <w:sz w:val="24"/>
      <w:szCs w:val="22"/>
      <w:lang w:eastAsia="en-US"/>
    </w:rPr>
  </w:style>
  <w:style w:type="table" w:customStyle="1" w:styleId="Tablaconcuadrcula1">
    <w:name w:val="Tabla con cuadrícula1"/>
    <w:basedOn w:val="Tablanormal"/>
    <w:next w:val="Tablaconcuadrcula"/>
    <w:uiPriority w:val="39"/>
    <w:rsid w:val="00AF4BA9"/>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63214"/>
    <w:pPr>
      <w:spacing w:before="100" w:beforeAutospacing="1" w:after="100" w:afterAutospacing="1" w:line="240" w:lineRule="auto"/>
      <w:jc w:val="left"/>
    </w:pPr>
    <w:rPr>
      <w:rFonts w:ascii="Times New Roman" w:eastAsiaTheme="minorEastAsia" w:hAnsi="Times New Roman"/>
      <w:szCs w:val="24"/>
      <w:lang w:eastAsia="es-ES"/>
    </w:rPr>
  </w:style>
  <w:style w:type="numbering" w:customStyle="1" w:styleId="Estilo11">
    <w:name w:val="Estilo11"/>
    <w:uiPriority w:val="99"/>
    <w:rsid w:val="003F1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7365">
      <w:bodyDiv w:val="1"/>
      <w:marLeft w:val="0"/>
      <w:marRight w:val="0"/>
      <w:marTop w:val="0"/>
      <w:marBottom w:val="0"/>
      <w:divBdr>
        <w:top w:val="none" w:sz="0" w:space="0" w:color="auto"/>
        <w:left w:val="none" w:sz="0" w:space="0" w:color="auto"/>
        <w:bottom w:val="none" w:sz="0" w:space="0" w:color="auto"/>
        <w:right w:val="none" w:sz="0" w:space="0" w:color="auto"/>
      </w:divBdr>
    </w:div>
    <w:div w:id="51471087">
      <w:bodyDiv w:val="1"/>
      <w:marLeft w:val="0"/>
      <w:marRight w:val="0"/>
      <w:marTop w:val="0"/>
      <w:marBottom w:val="0"/>
      <w:divBdr>
        <w:top w:val="none" w:sz="0" w:space="0" w:color="auto"/>
        <w:left w:val="none" w:sz="0" w:space="0" w:color="auto"/>
        <w:bottom w:val="none" w:sz="0" w:space="0" w:color="auto"/>
        <w:right w:val="none" w:sz="0" w:space="0" w:color="auto"/>
      </w:divBdr>
    </w:div>
    <w:div w:id="138114353">
      <w:bodyDiv w:val="1"/>
      <w:marLeft w:val="0"/>
      <w:marRight w:val="0"/>
      <w:marTop w:val="0"/>
      <w:marBottom w:val="0"/>
      <w:divBdr>
        <w:top w:val="none" w:sz="0" w:space="0" w:color="auto"/>
        <w:left w:val="none" w:sz="0" w:space="0" w:color="auto"/>
        <w:bottom w:val="none" w:sz="0" w:space="0" w:color="auto"/>
        <w:right w:val="none" w:sz="0" w:space="0" w:color="auto"/>
      </w:divBdr>
    </w:div>
    <w:div w:id="160122706">
      <w:bodyDiv w:val="1"/>
      <w:marLeft w:val="0"/>
      <w:marRight w:val="0"/>
      <w:marTop w:val="0"/>
      <w:marBottom w:val="0"/>
      <w:divBdr>
        <w:top w:val="none" w:sz="0" w:space="0" w:color="auto"/>
        <w:left w:val="none" w:sz="0" w:space="0" w:color="auto"/>
        <w:bottom w:val="none" w:sz="0" w:space="0" w:color="auto"/>
        <w:right w:val="none" w:sz="0" w:space="0" w:color="auto"/>
      </w:divBdr>
    </w:div>
    <w:div w:id="173420272">
      <w:bodyDiv w:val="1"/>
      <w:marLeft w:val="0"/>
      <w:marRight w:val="0"/>
      <w:marTop w:val="0"/>
      <w:marBottom w:val="0"/>
      <w:divBdr>
        <w:top w:val="none" w:sz="0" w:space="0" w:color="auto"/>
        <w:left w:val="none" w:sz="0" w:space="0" w:color="auto"/>
        <w:bottom w:val="none" w:sz="0" w:space="0" w:color="auto"/>
        <w:right w:val="none" w:sz="0" w:space="0" w:color="auto"/>
      </w:divBdr>
    </w:div>
    <w:div w:id="177619860">
      <w:bodyDiv w:val="1"/>
      <w:marLeft w:val="0"/>
      <w:marRight w:val="0"/>
      <w:marTop w:val="0"/>
      <w:marBottom w:val="0"/>
      <w:divBdr>
        <w:top w:val="none" w:sz="0" w:space="0" w:color="auto"/>
        <w:left w:val="none" w:sz="0" w:space="0" w:color="auto"/>
        <w:bottom w:val="none" w:sz="0" w:space="0" w:color="auto"/>
        <w:right w:val="none" w:sz="0" w:space="0" w:color="auto"/>
      </w:divBdr>
    </w:div>
    <w:div w:id="203951784">
      <w:bodyDiv w:val="1"/>
      <w:marLeft w:val="0"/>
      <w:marRight w:val="0"/>
      <w:marTop w:val="0"/>
      <w:marBottom w:val="0"/>
      <w:divBdr>
        <w:top w:val="none" w:sz="0" w:space="0" w:color="auto"/>
        <w:left w:val="none" w:sz="0" w:space="0" w:color="auto"/>
        <w:bottom w:val="none" w:sz="0" w:space="0" w:color="auto"/>
        <w:right w:val="none" w:sz="0" w:space="0" w:color="auto"/>
      </w:divBdr>
    </w:div>
    <w:div w:id="244412870">
      <w:bodyDiv w:val="1"/>
      <w:marLeft w:val="0"/>
      <w:marRight w:val="0"/>
      <w:marTop w:val="0"/>
      <w:marBottom w:val="0"/>
      <w:divBdr>
        <w:top w:val="none" w:sz="0" w:space="0" w:color="auto"/>
        <w:left w:val="none" w:sz="0" w:space="0" w:color="auto"/>
        <w:bottom w:val="none" w:sz="0" w:space="0" w:color="auto"/>
        <w:right w:val="none" w:sz="0" w:space="0" w:color="auto"/>
      </w:divBdr>
    </w:div>
    <w:div w:id="258756967">
      <w:bodyDiv w:val="1"/>
      <w:marLeft w:val="0"/>
      <w:marRight w:val="0"/>
      <w:marTop w:val="0"/>
      <w:marBottom w:val="0"/>
      <w:divBdr>
        <w:top w:val="none" w:sz="0" w:space="0" w:color="auto"/>
        <w:left w:val="none" w:sz="0" w:space="0" w:color="auto"/>
        <w:bottom w:val="none" w:sz="0" w:space="0" w:color="auto"/>
        <w:right w:val="none" w:sz="0" w:space="0" w:color="auto"/>
      </w:divBdr>
    </w:div>
    <w:div w:id="299506772">
      <w:marLeft w:val="0"/>
      <w:marRight w:val="0"/>
      <w:marTop w:val="0"/>
      <w:marBottom w:val="0"/>
      <w:divBdr>
        <w:top w:val="none" w:sz="0" w:space="0" w:color="auto"/>
        <w:left w:val="none" w:sz="0" w:space="0" w:color="auto"/>
        <w:bottom w:val="none" w:sz="0" w:space="0" w:color="auto"/>
        <w:right w:val="none" w:sz="0" w:space="0" w:color="auto"/>
      </w:divBdr>
    </w:div>
    <w:div w:id="299506773">
      <w:marLeft w:val="0"/>
      <w:marRight w:val="0"/>
      <w:marTop w:val="0"/>
      <w:marBottom w:val="0"/>
      <w:divBdr>
        <w:top w:val="none" w:sz="0" w:space="0" w:color="auto"/>
        <w:left w:val="none" w:sz="0" w:space="0" w:color="auto"/>
        <w:bottom w:val="none" w:sz="0" w:space="0" w:color="auto"/>
        <w:right w:val="none" w:sz="0" w:space="0" w:color="auto"/>
      </w:divBdr>
    </w:div>
    <w:div w:id="299506774">
      <w:marLeft w:val="0"/>
      <w:marRight w:val="0"/>
      <w:marTop w:val="0"/>
      <w:marBottom w:val="0"/>
      <w:divBdr>
        <w:top w:val="none" w:sz="0" w:space="0" w:color="auto"/>
        <w:left w:val="none" w:sz="0" w:space="0" w:color="auto"/>
        <w:bottom w:val="none" w:sz="0" w:space="0" w:color="auto"/>
        <w:right w:val="none" w:sz="0" w:space="0" w:color="auto"/>
      </w:divBdr>
    </w:div>
    <w:div w:id="299506775">
      <w:marLeft w:val="0"/>
      <w:marRight w:val="0"/>
      <w:marTop w:val="0"/>
      <w:marBottom w:val="0"/>
      <w:divBdr>
        <w:top w:val="none" w:sz="0" w:space="0" w:color="auto"/>
        <w:left w:val="none" w:sz="0" w:space="0" w:color="auto"/>
        <w:bottom w:val="none" w:sz="0" w:space="0" w:color="auto"/>
        <w:right w:val="none" w:sz="0" w:space="0" w:color="auto"/>
      </w:divBdr>
    </w:div>
    <w:div w:id="299506776">
      <w:marLeft w:val="0"/>
      <w:marRight w:val="0"/>
      <w:marTop w:val="0"/>
      <w:marBottom w:val="0"/>
      <w:divBdr>
        <w:top w:val="none" w:sz="0" w:space="0" w:color="auto"/>
        <w:left w:val="none" w:sz="0" w:space="0" w:color="auto"/>
        <w:bottom w:val="none" w:sz="0" w:space="0" w:color="auto"/>
        <w:right w:val="none" w:sz="0" w:space="0" w:color="auto"/>
      </w:divBdr>
    </w:div>
    <w:div w:id="299506777">
      <w:marLeft w:val="0"/>
      <w:marRight w:val="0"/>
      <w:marTop w:val="0"/>
      <w:marBottom w:val="0"/>
      <w:divBdr>
        <w:top w:val="none" w:sz="0" w:space="0" w:color="auto"/>
        <w:left w:val="none" w:sz="0" w:space="0" w:color="auto"/>
        <w:bottom w:val="none" w:sz="0" w:space="0" w:color="auto"/>
        <w:right w:val="none" w:sz="0" w:space="0" w:color="auto"/>
      </w:divBdr>
    </w:div>
    <w:div w:id="299506778">
      <w:marLeft w:val="0"/>
      <w:marRight w:val="0"/>
      <w:marTop w:val="0"/>
      <w:marBottom w:val="0"/>
      <w:divBdr>
        <w:top w:val="none" w:sz="0" w:space="0" w:color="auto"/>
        <w:left w:val="none" w:sz="0" w:space="0" w:color="auto"/>
        <w:bottom w:val="none" w:sz="0" w:space="0" w:color="auto"/>
        <w:right w:val="none" w:sz="0" w:space="0" w:color="auto"/>
      </w:divBdr>
    </w:div>
    <w:div w:id="299506779">
      <w:marLeft w:val="0"/>
      <w:marRight w:val="0"/>
      <w:marTop w:val="0"/>
      <w:marBottom w:val="0"/>
      <w:divBdr>
        <w:top w:val="none" w:sz="0" w:space="0" w:color="auto"/>
        <w:left w:val="none" w:sz="0" w:space="0" w:color="auto"/>
        <w:bottom w:val="none" w:sz="0" w:space="0" w:color="auto"/>
        <w:right w:val="none" w:sz="0" w:space="0" w:color="auto"/>
      </w:divBdr>
    </w:div>
    <w:div w:id="299506780">
      <w:marLeft w:val="0"/>
      <w:marRight w:val="0"/>
      <w:marTop w:val="0"/>
      <w:marBottom w:val="0"/>
      <w:divBdr>
        <w:top w:val="none" w:sz="0" w:space="0" w:color="auto"/>
        <w:left w:val="none" w:sz="0" w:space="0" w:color="auto"/>
        <w:bottom w:val="none" w:sz="0" w:space="0" w:color="auto"/>
        <w:right w:val="none" w:sz="0" w:space="0" w:color="auto"/>
      </w:divBdr>
    </w:div>
    <w:div w:id="299506781">
      <w:marLeft w:val="0"/>
      <w:marRight w:val="0"/>
      <w:marTop w:val="0"/>
      <w:marBottom w:val="0"/>
      <w:divBdr>
        <w:top w:val="none" w:sz="0" w:space="0" w:color="auto"/>
        <w:left w:val="none" w:sz="0" w:space="0" w:color="auto"/>
        <w:bottom w:val="none" w:sz="0" w:space="0" w:color="auto"/>
        <w:right w:val="none" w:sz="0" w:space="0" w:color="auto"/>
      </w:divBdr>
    </w:div>
    <w:div w:id="299506782">
      <w:marLeft w:val="0"/>
      <w:marRight w:val="0"/>
      <w:marTop w:val="0"/>
      <w:marBottom w:val="0"/>
      <w:divBdr>
        <w:top w:val="none" w:sz="0" w:space="0" w:color="auto"/>
        <w:left w:val="none" w:sz="0" w:space="0" w:color="auto"/>
        <w:bottom w:val="none" w:sz="0" w:space="0" w:color="auto"/>
        <w:right w:val="none" w:sz="0" w:space="0" w:color="auto"/>
      </w:divBdr>
    </w:div>
    <w:div w:id="299506783">
      <w:marLeft w:val="0"/>
      <w:marRight w:val="0"/>
      <w:marTop w:val="0"/>
      <w:marBottom w:val="0"/>
      <w:divBdr>
        <w:top w:val="none" w:sz="0" w:space="0" w:color="auto"/>
        <w:left w:val="none" w:sz="0" w:space="0" w:color="auto"/>
        <w:bottom w:val="none" w:sz="0" w:space="0" w:color="auto"/>
        <w:right w:val="none" w:sz="0" w:space="0" w:color="auto"/>
      </w:divBdr>
    </w:div>
    <w:div w:id="299506784">
      <w:marLeft w:val="0"/>
      <w:marRight w:val="0"/>
      <w:marTop w:val="0"/>
      <w:marBottom w:val="0"/>
      <w:divBdr>
        <w:top w:val="none" w:sz="0" w:space="0" w:color="auto"/>
        <w:left w:val="none" w:sz="0" w:space="0" w:color="auto"/>
        <w:bottom w:val="none" w:sz="0" w:space="0" w:color="auto"/>
        <w:right w:val="none" w:sz="0" w:space="0" w:color="auto"/>
      </w:divBdr>
    </w:div>
    <w:div w:id="299506785">
      <w:marLeft w:val="0"/>
      <w:marRight w:val="0"/>
      <w:marTop w:val="0"/>
      <w:marBottom w:val="0"/>
      <w:divBdr>
        <w:top w:val="none" w:sz="0" w:space="0" w:color="auto"/>
        <w:left w:val="none" w:sz="0" w:space="0" w:color="auto"/>
        <w:bottom w:val="none" w:sz="0" w:space="0" w:color="auto"/>
        <w:right w:val="none" w:sz="0" w:space="0" w:color="auto"/>
      </w:divBdr>
    </w:div>
    <w:div w:id="299506786">
      <w:marLeft w:val="0"/>
      <w:marRight w:val="0"/>
      <w:marTop w:val="0"/>
      <w:marBottom w:val="0"/>
      <w:divBdr>
        <w:top w:val="none" w:sz="0" w:space="0" w:color="auto"/>
        <w:left w:val="none" w:sz="0" w:space="0" w:color="auto"/>
        <w:bottom w:val="none" w:sz="0" w:space="0" w:color="auto"/>
        <w:right w:val="none" w:sz="0" w:space="0" w:color="auto"/>
      </w:divBdr>
    </w:div>
    <w:div w:id="299506787">
      <w:marLeft w:val="0"/>
      <w:marRight w:val="0"/>
      <w:marTop w:val="0"/>
      <w:marBottom w:val="0"/>
      <w:divBdr>
        <w:top w:val="none" w:sz="0" w:space="0" w:color="auto"/>
        <w:left w:val="none" w:sz="0" w:space="0" w:color="auto"/>
        <w:bottom w:val="none" w:sz="0" w:space="0" w:color="auto"/>
        <w:right w:val="none" w:sz="0" w:space="0" w:color="auto"/>
      </w:divBdr>
    </w:div>
    <w:div w:id="299506788">
      <w:marLeft w:val="0"/>
      <w:marRight w:val="0"/>
      <w:marTop w:val="0"/>
      <w:marBottom w:val="0"/>
      <w:divBdr>
        <w:top w:val="none" w:sz="0" w:space="0" w:color="auto"/>
        <w:left w:val="none" w:sz="0" w:space="0" w:color="auto"/>
        <w:bottom w:val="none" w:sz="0" w:space="0" w:color="auto"/>
        <w:right w:val="none" w:sz="0" w:space="0" w:color="auto"/>
      </w:divBdr>
    </w:div>
    <w:div w:id="330766391">
      <w:bodyDiv w:val="1"/>
      <w:marLeft w:val="0"/>
      <w:marRight w:val="0"/>
      <w:marTop w:val="0"/>
      <w:marBottom w:val="0"/>
      <w:divBdr>
        <w:top w:val="none" w:sz="0" w:space="0" w:color="auto"/>
        <w:left w:val="none" w:sz="0" w:space="0" w:color="auto"/>
        <w:bottom w:val="none" w:sz="0" w:space="0" w:color="auto"/>
        <w:right w:val="none" w:sz="0" w:space="0" w:color="auto"/>
      </w:divBdr>
    </w:div>
    <w:div w:id="333579096">
      <w:bodyDiv w:val="1"/>
      <w:marLeft w:val="0"/>
      <w:marRight w:val="0"/>
      <w:marTop w:val="0"/>
      <w:marBottom w:val="0"/>
      <w:divBdr>
        <w:top w:val="none" w:sz="0" w:space="0" w:color="auto"/>
        <w:left w:val="none" w:sz="0" w:space="0" w:color="auto"/>
        <w:bottom w:val="none" w:sz="0" w:space="0" w:color="auto"/>
        <w:right w:val="none" w:sz="0" w:space="0" w:color="auto"/>
      </w:divBdr>
    </w:div>
    <w:div w:id="341057587">
      <w:bodyDiv w:val="1"/>
      <w:marLeft w:val="0"/>
      <w:marRight w:val="0"/>
      <w:marTop w:val="0"/>
      <w:marBottom w:val="0"/>
      <w:divBdr>
        <w:top w:val="none" w:sz="0" w:space="0" w:color="auto"/>
        <w:left w:val="none" w:sz="0" w:space="0" w:color="auto"/>
        <w:bottom w:val="none" w:sz="0" w:space="0" w:color="auto"/>
        <w:right w:val="none" w:sz="0" w:space="0" w:color="auto"/>
      </w:divBdr>
    </w:div>
    <w:div w:id="374278054">
      <w:bodyDiv w:val="1"/>
      <w:marLeft w:val="0"/>
      <w:marRight w:val="0"/>
      <w:marTop w:val="0"/>
      <w:marBottom w:val="0"/>
      <w:divBdr>
        <w:top w:val="none" w:sz="0" w:space="0" w:color="auto"/>
        <w:left w:val="none" w:sz="0" w:space="0" w:color="auto"/>
        <w:bottom w:val="none" w:sz="0" w:space="0" w:color="auto"/>
        <w:right w:val="none" w:sz="0" w:space="0" w:color="auto"/>
      </w:divBdr>
    </w:div>
    <w:div w:id="388194375">
      <w:bodyDiv w:val="1"/>
      <w:marLeft w:val="0"/>
      <w:marRight w:val="0"/>
      <w:marTop w:val="0"/>
      <w:marBottom w:val="0"/>
      <w:divBdr>
        <w:top w:val="none" w:sz="0" w:space="0" w:color="auto"/>
        <w:left w:val="none" w:sz="0" w:space="0" w:color="auto"/>
        <w:bottom w:val="none" w:sz="0" w:space="0" w:color="auto"/>
        <w:right w:val="none" w:sz="0" w:space="0" w:color="auto"/>
      </w:divBdr>
    </w:div>
    <w:div w:id="389575930">
      <w:bodyDiv w:val="1"/>
      <w:marLeft w:val="0"/>
      <w:marRight w:val="0"/>
      <w:marTop w:val="0"/>
      <w:marBottom w:val="0"/>
      <w:divBdr>
        <w:top w:val="none" w:sz="0" w:space="0" w:color="auto"/>
        <w:left w:val="none" w:sz="0" w:space="0" w:color="auto"/>
        <w:bottom w:val="none" w:sz="0" w:space="0" w:color="auto"/>
        <w:right w:val="none" w:sz="0" w:space="0" w:color="auto"/>
      </w:divBdr>
    </w:div>
    <w:div w:id="408163628">
      <w:bodyDiv w:val="1"/>
      <w:marLeft w:val="0"/>
      <w:marRight w:val="0"/>
      <w:marTop w:val="0"/>
      <w:marBottom w:val="0"/>
      <w:divBdr>
        <w:top w:val="none" w:sz="0" w:space="0" w:color="auto"/>
        <w:left w:val="none" w:sz="0" w:space="0" w:color="auto"/>
        <w:bottom w:val="none" w:sz="0" w:space="0" w:color="auto"/>
        <w:right w:val="none" w:sz="0" w:space="0" w:color="auto"/>
      </w:divBdr>
    </w:div>
    <w:div w:id="434327232">
      <w:bodyDiv w:val="1"/>
      <w:marLeft w:val="0"/>
      <w:marRight w:val="0"/>
      <w:marTop w:val="0"/>
      <w:marBottom w:val="0"/>
      <w:divBdr>
        <w:top w:val="none" w:sz="0" w:space="0" w:color="auto"/>
        <w:left w:val="none" w:sz="0" w:space="0" w:color="auto"/>
        <w:bottom w:val="none" w:sz="0" w:space="0" w:color="auto"/>
        <w:right w:val="none" w:sz="0" w:space="0" w:color="auto"/>
      </w:divBdr>
    </w:div>
    <w:div w:id="449512476">
      <w:bodyDiv w:val="1"/>
      <w:marLeft w:val="0"/>
      <w:marRight w:val="0"/>
      <w:marTop w:val="0"/>
      <w:marBottom w:val="0"/>
      <w:divBdr>
        <w:top w:val="none" w:sz="0" w:space="0" w:color="auto"/>
        <w:left w:val="none" w:sz="0" w:space="0" w:color="auto"/>
        <w:bottom w:val="none" w:sz="0" w:space="0" w:color="auto"/>
        <w:right w:val="none" w:sz="0" w:space="0" w:color="auto"/>
      </w:divBdr>
    </w:div>
    <w:div w:id="541942037">
      <w:bodyDiv w:val="1"/>
      <w:marLeft w:val="0"/>
      <w:marRight w:val="0"/>
      <w:marTop w:val="0"/>
      <w:marBottom w:val="0"/>
      <w:divBdr>
        <w:top w:val="none" w:sz="0" w:space="0" w:color="auto"/>
        <w:left w:val="none" w:sz="0" w:space="0" w:color="auto"/>
        <w:bottom w:val="none" w:sz="0" w:space="0" w:color="auto"/>
        <w:right w:val="none" w:sz="0" w:space="0" w:color="auto"/>
      </w:divBdr>
    </w:div>
    <w:div w:id="560942624">
      <w:bodyDiv w:val="1"/>
      <w:marLeft w:val="0"/>
      <w:marRight w:val="0"/>
      <w:marTop w:val="0"/>
      <w:marBottom w:val="0"/>
      <w:divBdr>
        <w:top w:val="none" w:sz="0" w:space="0" w:color="auto"/>
        <w:left w:val="none" w:sz="0" w:space="0" w:color="auto"/>
        <w:bottom w:val="none" w:sz="0" w:space="0" w:color="auto"/>
        <w:right w:val="none" w:sz="0" w:space="0" w:color="auto"/>
      </w:divBdr>
    </w:div>
    <w:div w:id="639068800">
      <w:bodyDiv w:val="1"/>
      <w:marLeft w:val="0"/>
      <w:marRight w:val="0"/>
      <w:marTop w:val="0"/>
      <w:marBottom w:val="0"/>
      <w:divBdr>
        <w:top w:val="none" w:sz="0" w:space="0" w:color="auto"/>
        <w:left w:val="none" w:sz="0" w:space="0" w:color="auto"/>
        <w:bottom w:val="none" w:sz="0" w:space="0" w:color="auto"/>
        <w:right w:val="none" w:sz="0" w:space="0" w:color="auto"/>
      </w:divBdr>
    </w:div>
    <w:div w:id="700471256">
      <w:bodyDiv w:val="1"/>
      <w:marLeft w:val="0"/>
      <w:marRight w:val="0"/>
      <w:marTop w:val="0"/>
      <w:marBottom w:val="0"/>
      <w:divBdr>
        <w:top w:val="none" w:sz="0" w:space="0" w:color="auto"/>
        <w:left w:val="none" w:sz="0" w:space="0" w:color="auto"/>
        <w:bottom w:val="none" w:sz="0" w:space="0" w:color="auto"/>
        <w:right w:val="none" w:sz="0" w:space="0" w:color="auto"/>
      </w:divBdr>
    </w:div>
    <w:div w:id="723334709">
      <w:bodyDiv w:val="1"/>
      <w:marLeft w:val="0"/>
      <w:marRight w:val="0"/>
      <w:marTop w:val="0"/>
      <w:marBottom w:val="0"/>
      <w:divBdr>
        <w:top w:val="none" w:sz="0" w:space="0" w:color="auto"/>
        <w:left w:val="none" w:sz="0" w:space="0" w:color="auto"/>
        <w:bottom w:val="none" w:sz="0" w:space="0" w:color="auto"/>
        <w:right w:val="none" w:sz="0" w:space="0" w:color="auto"/>
      </w:divBdr>
    </w:div>
    <w:div w:id="789205708">
      <w:bodyDiv w:val="1"/>
      <w:marLeft w:val="0"/>
      <w:marRight w:val="0"/>
      <w:marTop w:val="0"/>
      <w:marBottom w:val="0"/>
      <w:divBdr>
        <w:top w:val="none" w:sz="0" w:space="0" w:color="auto"/>
        <w:left w:val="none" w:sz="0" w:space="0" w:color="auto"/>
        <w:bottom w:val="none" w:sz="0" w:space="0" w:color="auto"/>
        <w:right w:val="none" w:sz="0" w:space="0" w:color="auto"/>
      </w:divBdr>
    </w:div>
    <w:div w:id="869952432">
      <w:bodyDiv w:val="1"/>
      <w:marLeft w:val="0"/>
      <w:marRight w:val="0"/>
      <w:marTop w:val="0"/>
      <w:marBottom w:val="0"/>
      <w:divBdr>
        <w:top w:val="none" w:sz="0" w:space="0" w:color="auto"/>
        <w:left w:val="none" w:sz="0" w:space="0" w:color="auto"/>
        <w:bottom w:val="none" w:sz="0" w:space="0" w:color="auto"/>
        <w:right w:val="none" w:sz="0" w:space="0" w:color="auto"/>
      </w:divBdr>
    </w:div>
    <w:div w:id="993994523">
      <w:bodyDiv w:val="1"/>
      <w:marLeft w:val="0"/>
      <w:marRight w:val="0"/>
      <w:marTop w:val="0"/>
      <w:marBottom w:val="0"/>
      <w:divBdr>
        <w:top w:val="none" w:sz="0" w:space="0" w:color="auto"/>
        <w:left w:val="none" w:sz="0" w:space="0" w:color="auto"/>
        <w:bottom w:val="none" w:sz="0" w:space="0" w:color="auto"/>
        <w:right w:val="none" w:sz="0" w:space="0" w:color="auto"/>
      </w:divBdr>
    </w:div>
    <w:div w:id="1018237089">
      <w:bodyDiv w:val="1"/>
      <w:marLeft w:val="0"/>
      <w:marRight w:val="0"/>
      <w:marTop w:val="0"/>
      <w:marBottom w:val="0"/>
      <w:divBdr>
        <w:top w:val="none" w:sz="0" w:space="0" w:color="auto"/>
        <w:left w:val="none" w:sz="0" w:space="0" w:color="auto"/>
        <w:bottom w:val="none" w:sz="0" w:space="0" w:color="auto"/>
        <w:right w:val="none" w:sz="0" w:space="0" w:color="auto"/>
      </w:divBdr>
    </w:div>
    <w:div w:id="1072120191">
      <w:bodyDiv w:val="1"/>
      <w:marLeft w:val="0"/>
      <w:marRight w:val="0"/>
      <w:marTop w:val="0"/>
      <w:marBottom w:val="0"/>
      <w:divBdr>
        <w:top w:val="none" w:sz="0" w:space="0" w:color="auto"/>
        <w:left w:val="none" w:sz="0" w:space="0" w:color="auto"/>
        <w:bottom w:val="none" w:sz="0" w:space="0" w:color="auto"/>
        <w:right w:val="none" w:sz="0" w:space="0" w:color="auto"/>
      </w:divBdr>
    </w:div>
    <w:div w:id="1120686958">
      <w:bodyDiv w:val="1"/>
      <w:marLeft w:val="0"/>
      <w:marRight w:val="0"/>
      <w:marTop w:val="0"/>
      <w:marBottom w:val="0"/>
      <w:divBdr>
        <w:top w:val="none" w:sz="0" w:space="0" w:color="auto"/>
        <w:left w:val="none" w:sz="0" w:space="0" w:color="auto"/>
        <w:bottom w:val="none" w:sz="0" w:space="0" w:color="auto"/>
        <w:right w:val="none" w:sz="0" w:space="0" w:color="auto"/>
      </w:divBdr>
    </w:div>
    <w:div w:id="1169249613">
      <w:bodyDiv w:val="1"/>
      <w:marLeft w:val="0"/>
      <w:marRight w:val="0"/>
      <w:marTop w:val="0"/>
      <w:marBottom w:val="0"/>
      <w:divBdr>
        <w:top w:val="none" w:sz="0" w:space="0" w:color="auto"/>
        <w:left w:val="none" w:sz="0" w:space="0" w:color="auto"/>
        <w:bottom w:val="none" w:sz="0" w:space="0" w:color="auto"/>
        <w:right w:val="none" w:sz="0" w:space="0" w:color="auto"/>
      </w:divBdr>
    </w:div>
    <w:div w:id="1180002083">
      <w:bodyDiv w:val="1"/>
      <w:marLeft w:val="0"/>
      <w:marRight w:val="0"/>
      <w:marTop w:val="0"/>
      <w:marBottom w:val="0"/>
      <w:divBdr>
        <w:top w:val="none" w:sz="0" w:space="0" w:color="auto"/>
        <w:left w:val="none" w:sz="0" w:space="0" w:color="auto"/>
        <w:bottom w:val="none" w:sz="0" w:space="0" w:color="auto"/>
        <w:right w:val="none" w:sz="0" w:space="0" w:color="auto"/>
      </w:divBdr>
    </w:div>
    <w:div w:id="1213495797">
      <w:bodyDiv w:val="1"/>
      <w:marLeft w:val="0"/>
      <w:marRight w:val="0"/>
      <w:marTop w:val="0"/>
      <w:marBottom w:val="0"/>
      <w:divBdr>
        <w:top w:val="none" w:sz="0" w:space="0" w:color="auto"/>
        <w:left w:val="none" w:sz="0" w:space="0" w:color="auto"/>
        <w:bottom w:val="none" w:sz="0" w:space="0" w:color="auto"/>
        <w:right w:val="none" w:sz="0" w:space="0" w:color="auto"/>
      </w:divBdr>
    </w:div>
    <w:div w:id="1262301154">
      <w:bodyDiv w:val="1"/>
      <w:marLeft w:val="0"/>
      <w:marRight w:val="0"/>
      <w:marTop w:val="0"/>
      <w:marBottom w:val="0"/>
      <w:divBdr>
        <w:top w:val="none" w:sz="0" w:space="0" w:color="auto"/>
        <w:left w:val="none" w:sz="0" w:space="0" w:color="auto"/>
        <w:bottom w:val="none" w:sz="0" w:space="0" w:color="auto"/>
        <w:right w:val="none" w:sz="0" w:space="0" w:color="auto"/>
      </w:divBdr>
    </w:div>
    <w:div w:id="1304847856">
      <w:bodyDiv w:val="1"/>
      <w:marLeft w:val="0"/>
      <w:marRight w:val="0"/>
      <w:marTop w:val="0"/>
      <w:marBottom w:val="0"/>
      <w:divBdr>
        <w:top w:val="none" w:sz="0" w:space="0" w:color="auto"/>
        <w:left w:val="none" w:sz="0" w:space="0" w:color="auto"/>
        <w:bottom w:val="none" w:sz="0" w:space="0" w:color="auto"/>
        <w:right w:val="none" w:sz="0" w:space="0" w:color="auto"/>
      </w:divBdr>
    </w:div>
    <w:div w:id="1343168761">
      <w:bodyDiv w:val="1"/>
      <w:marLeft w:val="0"/>
      <w:marRight w:val="0"/>
      <w:marTop w:val="0"/>
      <w:marBottom w:val="0"/>
      <w:divBdr>
        <w:top w:val="none" w:sz="0" w:space="0" w:color="auto"/>
        <w:left w:val="none" w:sz="0" w:space="0" w:color="auto"/>
        <w:bottom w:val="none" w:sz="0" w:space="0" w:color="auto"/>
        <w:right w:val="none" w:sz="0" w:space="0" w:color="auto"/>
      </w:divBdr>
    </w:div>
    <w:div w:id="1352603483">
      <w:bodyDiv w:val="1"/>
      <w:marLeft w:val="0"/>
      <w:marRight w:val="0"/>
      <w:marTop w:val="0"/>
      <w:marBottom w:val="0"/>
      <w:divBdr>
        <w:top w:val="none" w:sz="0" w:space="0" w:color="auto"/>
        <w:left w:val="none" w:sz="0" w:space="0" w:color="auto"/>
        <w:bottom w:val="none" w:sz="0" w:space="0" w:color="auto"/>
        <w:right w:val="none" w:sz="0" w:space="0" w:color="auto"/>
      </w:divBdr>
    </w:div>
    <w:div w:id="1356226559">
      <w:bodyDiv w:val="1"/>
      <w:marLeft w:val="0"/>
      <w:marRight w:val="0"/>
      <w:marTop w:val="0"/>
      <w:marBottom w:val="0"/>
      <w:divBdr>
        <w:top w:val="none" w:sz="0" w:space="0" w:color="auto"/>
        <w:left w:val="none" w:sz="0" w:space="0" w:color="auto"/>
        <w:bottom w:val="none" w:sz="0" w:space="0" w:color="auto"/>
        <w:right w:val="none" w:sz="0" w:space="0" w:color="auto"/>
      </w:divBdr>
    </w:div>
    <w:div w:id="1378091723">
      <w:bodyDiv w:val="1"/>
      <w:marLeft w:val="0"/>
      <w:marRight w:val="0"/>
      <w:marTop w:val="0"/>
      <w:marBottom w:val="0"/>
      <w:divBdr>
        <w:top w:val="none" w:sz="0" w:space="0" w:color="auto"/>
        <w:left w:val="none" w:sz="0" w:space="0" w:color="auto"/>
        <w:bottom w:val="none" w:sz="0" w:space="0" w:color="auto"/>
        <w:right w:val="none" w:sz="0" w:space="0" w:color="auto"/>
      </w:divBdr>
    </w:div>
    <w:div w:id="1378161028">
      <w:bodyDiv w:val="1"/>
      <w:marLeft w:val="0"/>
      <w:marRight w:val="0"/>
      <w:marTop w:val="0"/>
      <w:marBottom w:val="0"/>
      <w:divBdr>
        <w:top w:val="none" w:sz="0" w:space="0" w:color="auto"/>
        <w:left w:val="none" w:sz="0" w:space="0" w:color="auto"/>
        <w:bottom w:val="none" w:sz="0" w:space="0" w:color="auto"/>
        <w:right w:val="none" w:sz="0" w:space="0" w:color="auto"/>
      </w:divBdr>
    </w:div>
    <w:div w:id="1490095133">
      <w:bodyDiv w:val="1"/>
      <w:marLeft w:val="0"/>
      <w:marRight w:val="0"/>
      <w:marTop w:val="0"/>
      <w:marBottom w:val="0"/>
      <w:divBdr>
        <w:top w:val="none" w:sz="0" w:space="0" w:color="auto"/>
        <w:left w:val="none" w:sz="0" w:space="0" w:color="auto"/>
        <w:bottom w:val="none" w:sz="0" w:space="0" w:color="auto"/>
        <w:right w:val="none" w:sz="0" w:space="0" w:color="auto"/>
      </w:divBdr>
    </w:div>
    <w:div w:id="1536504494">
      <w:bodyDiv w:val="1"/>
      <w:marLeft w:val="0"/>
      <w:marRight w:val="0"/>
      <w:marTop w:val="0"/>
      <w:marBottom w:val="0"/>
      <w:divBdr>
        <w:top w:val="none" w:sz="0" w:space="0" w:color="auto"/>
        <w:left w:val="none" w:sz="0" w:space="0" w:color="auto"/>
        <w:bottom w:val="none" w:sz="0" w:space="0" w:color="auto"/>
        <w:right w:val="none" w:sz="0" w:space="0" w:color="auto"/>
      </w:divBdr>
    </w:div>
    <w:div w:id="1652562489">
      <w:bodyDiv w:val="1"/>
      <w:marLeft w:val="0"/>
      <w:marRight w:val="0"/>
      <w:marTop w:val="0"/>
      <w:marBottom w:val="0"/>
      <w:divBdr>
        <w:top w:val="none" w:sz="0" w:space="0" w:color="auto"/>
        <w:left w:val="none" w:sz="0" w:space="0" w:color="auto"/>
        <w:bottom w:val="none" w:sz="0" w:space="0" w:color="auto"/>
        <w:right w:val="none" w:sz="0" w:space="0" w:color="auto"/>
      </w:divBdr>
    </w:div>
    <w:div w:id="1667510289">
      <w:bodyDiv w:val="1"/>
      <w:marLeft w:val="0"/>
      <w:marRight w:val="0"/>
      <w:marTop w:val="0"/>
      <w:marBottom w:val="0"/>
      <w:divBdr>
        <w:top w:val="none" w:sz="0" w:space="0" w:color="auto"/>
        <w:left w:val="none" w:sz="0" w:space="0" w:color="auto"/>
        <w:bottom w:val="none" w:sz="0" w:space="0" w:color="auto"/>
        <w:right w:val="none" w:sz="0" w:space="0" w:color="auto"/>
      </w:divBdr>
    </w:div>
    <w:div w:id="1693262302">
      <w:bodyDiv w:val="1"/>
      <w:marLeft w:val="0"/>
      <w:marRight w:val="0"/>
      <w:marTop w:val="0"/>
      <w:marBottom w:val="0"/>
      <w:divBdr>
        <w:top w:val="none" w:sz="0" w:space="0" w:color="auto"/>
        <w:left w:val="none" w:sz="0" w:space="0" w:color="auto"/>
        <w:bottom w:val="none" w:sz="0" w:space="0" w:color="auto"/>
        <w:right w:val="none" w:sz="0" w:space="0" w:color="auto"/>
      </w:divBdr>
    </w:div>
    <w:div w:id="1714847063">
      <w:bodyDiv w:val="1"/>
      <w:marLeft w:val="0"/>
      <w:marRight w:val="0"/>
      <w:marTop w:val="0"/>
      <w:marBottom w:val="0"/>
      <w:divBdr>
        <w:top w:val="none" w:sz="0" w:space="0" w:color="auto"/>
        <w:left w:val="none" w:sz="0" w:space="0" w:color="auto"/>
        <w:bottom w:val="none" w:sz="0" w:space="0" w:color="auto"/>
        <w:right w:val="none" w:sz="0" w:space="0" w:color="auto"/>
      </w:divBdr>
    </w:div>
    <w:div w:id="1743989153">
      <w:bodyDiv w:val="1"/>
      <w:marLeft w:val="0"/>
      <w:marRight w:val="0"/>
      <w:marTop w:val="0"/>
      <w:marBottom w:val="0"/>
      <w:divBdr>
        <w:top w:val="none" w:sz="0" w:space="0" w:color="auto"/>
        <w:left w:val="none" w:sz="0" w:space="0" w:color="auto"/>
        <w:bottom w:val="none" w:sz="0" w:space="0" w:color="auto"/>
        <w:right w:val="none" w:sz="0" w:space="0" w:color="auto"/>
      </w:divBdr>
    </w:div>
    <w:div w:id="1815946312">
      <w:bodyDiv w:val="1"/>
      <w:marLeft w:val="0"/>
      <w:marRight w:val="0"/>
      <w:marTop w:val="0"/>
      <w:marBottom w:val="0"/>
      <w:divBdr>
        <w:top w:val="none" w:sz="0" w:space="0" w:color="auto"/>
        <w:left w:val="none" w:sz="0" w:space="0" w:color="auto"/>
        <w:bottom w:val="none" w:sz="0" w:space="0" w:color="auto"/>
        <w:right w:val="none" w:sz="0" w:space="0" w:color="auto"/>
      </w:divBdr>
    </w:div>
    <w:div w:id="1851599093">
      <w:bodyDiv w:val="1"/>
      <w:marLeft w:val="0"/>
      <w:marRight w:val="0"/>
      <w:marTop w:val="0"/>
      <w:marBottom w:val="0"/>
      <w:divBdr>
        <w:top w:val="none" w:sz="0" w:space="0" w:color="auto"/>
        <w:left w:val="none" w:sz="0" w:space="0" w:color="auto"/>
        <w:bottom w:val="none" w:sz="0" w:space="0" w:color="auto"/>
        <w:right w:val="none" w:sz="0" w:space="0" w:color="auto"/>
      </w:divBdr>
    </w:div>
    <w:div w:id="1889757902">
      <w:bodyDiv w:val="1"/>
      <w:marLeft w:val="0"/>
      <w:marRight w:val="0"/>
      <w:marTop w:val="0"/>
      <w:marBottom w:val="0"/>
      <w:divBdr>
        <w:top w:val="none" w:sz="0" w:space="0" w:color="auto"/>
        <w:left w:val="none" w:sz="0" w:space="0" w:color="auto"/>
        <w:bottom w:val="none" w:sz="0" w:space="0" w:color="auto"/>
        <w:right w:val="none" w:sz="0" w:space="0" w:color="auto"/>
      </w:divBdr>
    </w:div>
    <w:div w:id="1954942476">
      <w:bodyDiv w:val="1"/>
      <w:marLeft w:val="0"/>
      <w:marRight w:val="0"/>
      <w:marTop w:val="0"/>
      <w:marBottom w:val="0"/>
      <w:divBdr>
        <w:top w:val="none" w:sz="0" w:space="0" w:color="auto"/>
        <w:left w:val="none" w:sz="0" w:space="0" w:color="auto"/>
        <w:bottom w:val="none" w:sz="0" w:space="0" w:color="auto"/>
        <w:right w:val="none" w:sz="0" w:space="0" w:color="auto"/>
      </w:divBdr>
    </w:div>
    <w:div w:id="2089188636">
      <w:bodyDiv w:val="1"/>
      <w:marLeft w:val="0"/>
      <w:marRight w:val="0"/>
      <w:marTop w:val="0"/>
      <w:marBottom w:val="0"/>
      <w:divBdr>
        <w:top w:val="none" w:sz="0" w:space="0" w:color="auto"/>
        <w:left w:val="none" w:sz="0" w:space="0" w:color="auto"/>
        <w:bottom w:val="none" w:sz="0" w:space="0" w:color="auto"/>
        <w:right w:val="none" w:sz="0" w:space="0" w:color="auto"/>
      </w:divBdr>
    </w:div>
    <w:div w:id="21175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vazquez\Configuraci&#243;n%20local\Archivos%20temporales%20de%20Internet\Content.Outlook\AMW8NWSH\Modelo%20Ficha%20PGE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CA7E2-ADA9-4ECE-8DA4-E3CF17CC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Ficha PGE14.dotm</Template>
  <TotalTime>0</TotalTime>
  <Pages>14</Pages>
  <Words>4122</Words>
  <Characters>21351</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PROYECTO DE LEY DE PRESUPUESTOS GENERALES DEL ESTADO PARA 2014</vt:lpstr>
    </vt:vector>
  </TitlesOfParts>
  <Company>ministerio de fomento</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DE PRESUPUESTOS GENERALES DEL ESTADO PARA 2014</dc:title>
  <dc:subject>Andalucía</dc:subject>
  <dc:creator>Jorge Juan Vázquez Martín</dc:creator>
  <cp:lastModifiedBy>Fumanal Orús Jesús</cp:lastModifiedBy>
  <cp:revision>2</cp:revision>
  <cp:lastPrinted>2019-01-14T11:37:00Z</cp:lastPrinted>
  <dcterms:created xsi:type="dcterms:W3CDTF">2019-01-14T12:40:00Z</dcterms:created>
  <dcterms:modified xsi:type="dcterms:W3CDTF">2019-01-14T12:40:00Z</dcterms:modified>
</cp:coreProperties>
</file>