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96C" w:rsidRDefault="004407CB" w:rsidP="004407CB">
      <w:pPr>
        <w:spacing w:line="280" w:lineRule="atLeast"/>
        <w:ind w:left="2295"/>
        <w:jc w:val="center"/>
        <w:rPr>
          <w:rFonts w:ascii="Arial Narrow" w:hAnsi="Arial Narrow" w:cs="Times New Roman"/>
          <w:b/>
          <w:sz w:val="44"/>
          <w:szCs w:val="44"/>
          <w:u w:val="single"/>
          <w:lang w:eastAsia="x-none"/>
        </w:rPr>
      </w:pPr>
      <w:r w:rsidRPr="009E396C">
        <w:rPr>
          <w:rFonts w:ascii="Arial Narrow" w:hAnsi="Arial Narrow" w:cs="Times New Roman"/>
          <w:b/>
          <w:sz w:val="44"/>
          <w:szCs w:val="44"/>
          <w:u w:val="single"/>
          <w:lang w:eastAsia="x-none"/>
        </w:rPr>
        <w:t>DATOS GENERALES</w:t>
      </w:r>
      <w:r w:rsidR="009E396C">
        <w:rPr>
          <w:rFonts w:ascii="Arial Narrow" w:hAnsi="Arial Narrow" w:cs="Times New Roman"/>
          <w:b/>
          <w:sz w:val="44"/>
          <w:szCs w:val="44"/>
          <w:u w:val="single"/>
          <w:lang w:eastAsia="x-none"/>
        </w:rPr>
        <w:t xml:space="preserve"> PGE </w:t>
      </w:r>
    </w:p>
    <w:p w:rsidR="004407CB" w:rsidRPr="009E396C" w:rsidRDefault="009E396C" w:rsidP="004407CB">
      <w:pPr>
        <w:spacing w:line="280" w:lineRule="atLeast"/>
        <w:ind w:left="2295"/>
        <w:jc w:val="center"/>
        <w:rPr>
          <w:rFonts w:ascii="Arial Narrow" w:hAnsi="Arial Narrow" w:cs="Times New Roman"/>
          <w:b/>
          <w:sz w:val="44"/>
          <w:szCs w:val="44"/>
          <w:u w:val="single"/>
          <w:lang w:eastAsia="x-none"/>
        </w:rPr>
      </w:pPr>
      <w:r>
        <w:rPr>
          <w:rFonts w:ascii="Arial Narrow" w:hAnsi="Arial Narrow" w:cs="Times New Roman"/>
          <w:b/>
          <w:sz w:val="44"/>
          <w:szCs w:val="44"/>
          <w:u w:val="single"/>
          <w:lang w:eastAsia="x-none"/>
        </w:rPr>
        <w:t xml:space="preserve">REGION DE MURCIA </w:t>
      </w:r>
    </w:p>
    <w:p w:rsidR="004407CB" w:rsidRPr="004407CB" w:rsidRDefault="004407CB" w:rsidP="004407CB">
      <w:pPr>
        <w:numPr>
          <w:ilvl w:val="0"/>
          <w:numId w:val="45"/>
        </w:numPr>
        <w:spacing w:before="240" w:after="120"/>
        <w:ind w:left="2655"/>
        <w:jc w:val="both"/>
        <w:rPr>
          <w:rFonts w:ascii="Arial Narrow" w:hAnsi="Arial Narrow" w:cs="Times New Roman"/>
          <w:sz w:val="28"/>
          <w:szCs w:val="28"/>
          <w:lang w:eastAsia="x-none"/>
        </w:rPr>
      </w:pPr>
      <w:r w:rsidRPr="00807CF5">
        <w:rPr>
          <w:rFonts w:ascii="Arial Narrow" w:hAnsi="Arial Narrow"/>
          <w:b/>
          <w:noProof/>
          <w:sz w:val="44"/>
          <w:szCs w:val="44"/>
        </w:rPr>
        <mc:AlternateContent>
          <mc:Choice Requires="wps">
            <w:drawing>
              <wp:anchor distT="0" distB="0" distL="114300" distR="114300" simplePos="0" relativeHeight="251659264" behindDoc="0" locked="0" layoutInCell="1" allowOverlap="1" wp14:anchorId="0E675431" wp14:editId="2D1586BC">
                <wp:simplePos x="0" y="0"/>
                <wp:positionH relativeFrom="column">
                  <wp:posOffset>-17145</wp:posOffset>
                </wp:positionH>
                <wp:positionV relativeFrom="paragraph">
                  <wp:posOffset>148148</wp:posOffset>
                </wp:positionV>
                <wp:extent cx="882595" cy="5605973"/>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595" cy="5605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7CB" w:rsidRPr="00AB22E5" w:rsidRDefault="004407CB" w:rsidP="004407CB">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35pt;margin-top:11.65pt;width:69.5pt;height:4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U23tQIAALwFAAAOAAAAZHJzL2Uyb0RvYy54bWysVNtunDAQfa/Uf7D8TrgEWEBho2RZqkrp&#10;RUr6AV4wi1Wwqe1diKr8e8dmd7NJVKlq6wfLl/GZOTPHc3U99R3aU6mY4Dn2LzyMKK9Ezfg2x98e&#10;SifBSGnCa9IJTnP8SBW+Xr5/dzUOGQ1EK7qaSgQgXGXjkONW6yFzXVW1tCfqQgyUw2UjZE80bOXW&#10;rSUZAb3v3MDzYncUsh6kqKhScFrMl3hp8ZuGVvpL0yiqUZdjiE3bWdp5Y2Z3eUWyrSRDy6pDGOQv&#10;ougJ4+D0BFUQTdBOsjdQPaukUKLRF5XoXdE0rKKWA7DxvVds7lsyUMsFkqOGU5rU/4OtPu+/SsTq&#10;HEcYcdJDiR7opNGtmFBssjMOKgOj+wHM9ATHUGXLVA13ovquEBerlvAtvZFSjC0lNUTnm5fu2dMZ&#10;RxmQzfhJ1OCG7LSwQFMje5M6SAYCdKjS46kyJpQKDpMkiFKIsIKrKPaidHFpXZDs+HqQSn+gokdm&#10;kWMJlbfoZH+ntImGZEcT44yLknWdrX7HXxyA4XwCvuGpuTNR2GL+TL10nayT0AmDeO2EXlE4N+Uq&#10;dOLSX0TFZbFaFf6T8euHWcvqmnLj5igsP/yzwh0kPkviJC0lOlYbOBOSktvNqpNoT0DYpR2HhJyZ&#10;uS/DsEkALq8o+UHo3QapU8bJwgnLMHLShZc4np/eprEXpmFRvqR0xzj9d0pozHEaBdEspt9y8+x4&#10;y41kPdPQOjrWgzxORiQzElzz2pZWE9bN67NUmPCfUwHlPhbaCtZodFarnjYToBgVb0T9CNKVApQF&#10;+oR+BwszBwvYjtA+cqx+7IikGHUfOfyA1A9D02/sJowWAWzk+c3m/IbwqhXQlTRG83Kl5x61GyTb&#10;tuBs/nNc3MCvaZgV9HNgh78GLcLyOrQz04PO99bquekufwEAAP//AwBQSwMEFAAGAAgAAAAhADAx&#10;DzXgAAAACQEAAA8AAABkcnMvZG93bnJldi54bWxMj8FOwzAQRO9I/IO1SNxau4kUaMimQiAqcUFt&#10;KAduTmySCHsdYrdJ/x73BLdZzWjmbbGZrWEnPfreEcJqKYBpapzqqUU4vL8s7oH5IElJ40gjnLWH&#10;TXl9VchcuYn2+lSFlsUS8rlE6EIYcs5902kr/dINmqL35UYrQzzHlqtRTrHcGp4IkXEre4oLnRz0&#10;U6eb7+poET7qt7PZD+mn6KfX3bz92VXP2xbx9mZ+fAAW9Bz+wnDBj+hQRqbaHUl5ZhAWyV1MIiRp&#10;Cuzip1kUNcJaZCvgZcH/f1D+AgAA//8DAFBLAQItABQABgAIAAAAIQC2gziS/gAAAOEBAAATAAAA&#10;AAAAAAAAAAAAAAAAAABbQ29udGVudF9UeXBlc10ueG1sUEsBAi0AFAAGAAgAAAAhADj9If/WAAAA&#10;lAEAAAsAAAAAAAAAAAAAAAAALwEAAF9yZWxzLy5yZWxzUEsBAi0AFAAGAAgAAAAhABmZTbe1AgAA&#10;vAUAAA4AAAAAAAAAAAAAAAAALgIAAGRycy9lMm9Eb2MueG1sUEsBAi0AFAAGAAgAAAAhADAxDzXg&#10;AAAACQEAAA8AAAAAAAAAAAAAAAAADwUAAGRycy9kb3ducmV2LnhtbFBLBQYAAAAABAAEAPMAAAAc&#10;BgAAAAA=&#10;" filled="f" stroked="f">
                <v:textbox style="layout-flow:vertical;mso-layout-flow-alt:bottom-to-top">
                  <w:txbxContent>
                    <w:p w:rsidR="004407CB" w:rsidRPr="00AB22E5" w:rsidRDefault="004407CB" w:rsidP="004407CB">
                      <w:pPr>
                        <w:pStyle w:val="Ttulo4"/>
                        <w:rPr>
                          <w:rFonts w:ascii="Arial Narrow" w:hAnsi="Arial Narrow"/>
                          <w:color w:val="548DD4"/>
                          <w:sz w:val="96"/>
                          <w:szCs w:val="96"/>
                        </w:rPr>
                      </w:pPr>
                      <w:r w:rsidRPr="00AB22E5">
                        <w:rPr>
                          <w:rFonts w:ascii="Arial Narrow" w:hAnsi="Arial Narrow"/>
                          <w:color w:val="548DD4"/>
                          <w:sz w:val="96"/>
                          <w:szCs w:val="96"/>
                        </w:rPr>
                        <w:t xml:space="preserve">Nota  de  prensa </w:t>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r w:rsidRPr="00AB22E5">
                        <w:rPr>
                          <w:rFonts w:ascii="Arial Narrow" w:hAnsi="Arial Narrow"/>
                          <w:color w:val="548DD4"/>
                          <w:sz w:val="96"/>
                          <w:szCs w:val="96"/>
                        </w:rPr>
                        <w:tab/>
                      </w:r>
                    </w:p>
                  </w:txbxContent>
                </v:textbox>
              </v:shape>
            </w:pict>
          </mc:Fallback>
        </mc:AlternateContent>
      </w:r>
      <w:r w:rsidRPr="004407CB">
        <w:rPr>
          <w:rFonts w:ascii="Arial Narrow" w:hAnsi="Arial Narrow" w:cs="Times New Roman"/>
          <w:sz w:val="28"/>
          <w:szCs w:val="28"/>
          <w:lang w:eastAsia="x-none"/>
        </w:rPr>
        <w:t>Inversión Total</w:t>
      </w:r>
      <w:r w:rsidRPr="004407CB">
        <w:rPr>
          <w:rFonts w:ascii="Arial Narrow" w:hAnsi="Arial Narrow" w:cs="Times New Roman"/>
          <w:sz w:val="28"/>
          <w:szCs w:val="28"/>
          <w:lang w:eastAsia="x-none"/>
        </w:rPr>
        <w:footnoteReference w:id="1"/>
      </w:r>
      <w:r w:rsidRPr="004407CB">
        <w:rPr>
          <w:rFonts w:ascii="Arial Narrow" w:hAnsi="Arial Narrow" w:cs="Times New Roman"/>
          <w:sz w:val="28"/>
          <w:szCs w:val="28"/>
          <w:lang w:eastAsia="x-none"/>
        </w:rPr>
        <w:t xml:space="preserve">: 446,93 M€ (un 18,2% más que el año anterior) </w:t>
      </w:r>
    </w:p>
    <w:p w:rsidR="004407CB" w:rsidRPr="004407CB" w:rsidRDefault="004407CB" w:rsidP="004407CB">
      <w:pPr>
        <w:numPr>
          <w:ilvl w:val="0"/>
          <w:numId w:val="45"/>
        </w:numPr>
        <w:spacing w:before="240" w:after="120"/>
        <w:ind w:left="2655"/>
        <w:jc w:val="both"/>
        <w:rPr>
          <w:rFonts w:ascii="Arial Narrow" w:hAnsi="Arial Narrow" w:cs="Times New Roman"/>
          <w:sz w:val="28"/>
          <w:szCs w:val="28"/>
          <w:lang w:eastAsia="x-none"/>
        </w:rPr>
      </w:pPr>
      <w:r w:rsidRPr="004407CB">
        <w:rPr>
          <w:rFonts w:ascii="Arial Narrow" w:hAnsi="Arial Narrow" w:cs="Times New Roman"/>
          <w:sz w:val="28"/>
          <w:szCs w:val="28"/>
          <w:lang w:eastAsia="x-none"/>
        </w:rPr>
        <w:t>Capítulo 6: La Ley de PGE 2019 asigna a Murcia 374,32 M€ para inversiones (32,62% más que 2018), lo que supone un 3,07% sobre el total regionalizado, porcentaje superior a su contribución al PIB nacional (2,6%) y, algo inferior a su participación sobre la población nacional (3,2%).</w:t>
      </w:r>
    </w:p>
    <w:p w:rsidR="004407CB" w:rsidRPr="004407CB" w:rsidRDefault="004407CB" w:rsidP="004407CB">
      <w:pPr>
        <w:numPr>
          <w:ilvl w:val="0"/>
          <w:numId w:val="45"/>
        </w:numPr>
        <w:spacing w:before="240" w:after="120"/>
        <w:ind w:left="2652" w:hanging="357"/>
        <w:jc w:val="both"/>
        <w:rPr>
          <w:rFonts w:ascii="Arial Narrow" w:hAnsi="Arial Narrow" w:cs="Times New Roman"/>
          <w:sz w:val="28"/>
          <w:szCs w:val="28"/>
          <w:lang w:eastAsia="x-none"/>
        </w:rPr>
      </w:pPr>
      <w:r w:rsidRPr="004407CB">
        <w:rPr>
          <w:rFonts w:ascii="Arial Narrow" w:hAnsi="Arial Narrow" w:cs="Times New Roman"/>
          <w:sz w:val="28"/>
          <w:szCs w:val="28"/>
          <w:lang w:eastAsia="x-none"/>
        </w:rPr>
        <w:t>Fondos de Compensación Interterritorial (FFCI): Además recibe 20,91 M€ en FFCI, 0,79 M€ menos que en 2018.</w:t>
      </w:r>
    </w:p>
    <w:p w:rsidR="004407CB" w:rsidRPr="004407CB" w:rsidRDefault="004407CB" w:rsidP="004407CB">
      <w:pPr>
        <w:numPr>
          <w:ilvl w:val="0"/>
          <w:numId w:val="45"/>
        </w:numPr>
        <w:spacing w:before="120" w:after="120"/>
        <w:ind w:left="2655"/>
        <w:jc w:val="both"/>
        <w:rPr>
          <w:rFonts w:ascii="Arial Narrow" w:hAnsi="Arial Narrow" w:cs="Times New Roman"/>
          <w:sz w:val="28"/>
          <w:szCs w:val="28"/>
          <w:lang w:eastAsia="x-none"/>
        </w:rPr>
      </w:pPr>
      <w:r w:rsidRPr="004407CB">
        <w:rPr>
          <w:rFonts w:ascii="Arial Narrow" w:hAnsi="Arial Narrow" w:cs="Times New Roman"/>
          <w:sz w:val="28"/>
          <w:szCs w:val="28"/>
          <w:lang w:eastAsia="x-none"/>
        </w:rPr>
        <w:t xml:space="preserve">Capítulo 7: Por otra parte, la CA recibe del Estado 51,7 M€ vía transferencias de capital (inversión indirecta), lo que supone un 249,32% más. </w:t>
      </w:r>
    </w:p>
    <w:p w:rsidR="004407CB" w:rsidRPr="004407CB" w:rsidRDefault="004407CB" w:rsidP="004407CB">
      <w:pPr>
        <w:spacing w:before="120" w:after="120"/>
        <w:ind w:left="2295"/>
        <w:jc w:val="both"/>
        <w:rPr>
          <w:rFonts w:ascii="Arial Narrow" w:hAnsi="Arial Narrow" w:cs="Times New Roman"/>
          <w:sz w:val="28"/>
          <w:szCs w:val="28"/>
          <w:lang w:eastAsia="x-none"/>
        </w:rPr>
      </w:pPr>
    </w:p>
    <w:p w:rsidR="004407CB" w:rsidRPr="004407CB" w:rsidRDefault="004407CB" w:rsidP="004407CB">
      <w:pPr>
        <w:numPr>
          <w:ilvl w:val="0"/>
          <w:numId w:val="45"/>
        </w:numPr>
        <w:spacing w:before="120" w:after="120"/>
        <w:ind w:left="2655"/>
        <w:jc w:val="both"/>
        <w:rPr>
          <w:rFonts w:ascii="Arial Narrow" w:hAnsi="Arial Narrow" w:cs="Times New Roman"/>
          <w:sz w:val="28"/>
          <w:szCs w:val="28"/>
          <w:lang w:eastAsia="x-none"/>
        </w:rPr>
      </w:pPr>
      <w:r w:rsidRPr="004407CB">
        <w:rPr>
          <w:rFonts w:ascii="Arial Narrow" w:hAnsi="Arial Narrow" w:cs="Times New Roman"/>
          <w:sz w:val="28"/>
          <w:szCs w:val="28"/>
          <w:lang w:eastAsia="x-none"/>
        </w:rPr>
        <w:t>Se dota a los órganos de la Administración de Justicia de los medios materiales y de las infraestructuras necesarias para un funcionamiento ágil y eficaz, mejorando la transparencia, el acercamiento y la atención a la ciudadanía, así como la adaptación a las nuevas disposiciones le-gales. Para ello, durante el ejercicio 2019, se continuará con las obras de ejecución de nueva sede judicial en Lorca (Murcia).</w:t>
      </w:r>
    </w:p>
    <w:p w:rsidR="004407CB" w:rsidRPr="004407CB" w:rsidRDefault="004407CB" w:rsidP="004407CB">
      <w:pPr>
        <w:numPr>
          <w:ilvl w:val="0"/>
          <w:numId w:val="45"/>
        </w:numPr>
        <w:spacing w:before="120" w:after="120"/>
        <w:ind w:left="2655"/>
        <w:jc w:val="both"/>
        <w:rPr>
          <w:rFonts w:ascii="Arial Narrow" w:hAnsi="Arial Narrow" w:cs="Times New Roman"/>
          <w:sz w:val="28"/>
          <w:szCs w:val="28"/>
          <w:lang w:eastAsia="x-none"/>
        </w:rPr>
      </w:pPr>
      <w:r w:rsidRPr="004407CB">
        <w:rPr>
          <w:rFonts w:ascii="Arial Narrow" w:hAnsi="Arial Narrow" w:cs="Times New Roman"/>
          <w:sz w:val="28"/>
          <w:szCs w:val="28"/>
          <w:lang w:eastAsia="x-none"/>
        </w:rPr>
        <w:t>Se prevé un crédito de 3 millones de euros a favor del Ayuntamiento de Lorca, para financiar obras y servicios de titularidad local dañados por el terremoto.</w:t>
      </w:r>
    </w:p>
    <w:p w:rsidR="004407CB" w:rsidRDefault="004407CB" w:rsidP="004407CB">
      <w:pPr>
        <w:numPr>
          <w:ilvl w:val="0"/>
          <w:numId w:val="45"/>
        </w:numPr>
        <w:spacing w:before="120" w:after="120"/>
        <w:ind w:left="2655"/>
        <w:jc w:val="both"/>
        <w:rPr>
          <w:rFonts w:ascii="Arial Narrow" w:hAnsi="Arial Narrow" w:cs="Times New Roman"/>
          <w:sz w:val="28"/>
          <w:szCs w:val="28"/>
          <w:lang w:eastAsia="x-none"/>
        </w:rPr>
      </w:pPr>
      <w:r w:rsidRPr="004407CB">
        <w:rPr>
          <w:rFonts w:ascii="Arial Narrow" w:hAnsi="Arial Narrow" w:cs="Times New Roman"/>
          <w:sz w:val="28"/>
          <w:szCs w:val="28"/>
          <w:lang w:eastAsia="x-none"/>
        </w:rPr>
        <w:lastRenderedPageBreak/>
        <w:t xml:space="preserve">Se incrementa en 2M€ la dotación del Ministerio para la Transición Ecológica, respecto del extinto Ministerio de Agricultura. La inversión presupuestada para el Ministerio es de 33,72 M€ que se destinarán principalmente a la gestión e infraestructuras del agua (con actuaciones en materia de mantenimiento y seguridad de presas o la mejora del abastecimiento a Cieza Blanca y Albarán), y a la calidad del agua, impulsando el Plan CRECE mediante actuaciones de saneamiento, depuración y restauración hidrológico ambiental de tramos fluviales en la CCAA de Murcia.   </w:t>
      </w:r>
    </w:p>
    <w:p w:rsidR="004407CB" w:rsidRDefault="004407CB" w:rsidP="004407CB">
      <w:pPr>
        <w:spacing w:before="120" w:after="120"/>
        <w:ind w:left="2655"/>
        <w:jc w:val="both"/>
        <w:rPr>
          <w:rFonts w:ascii="Arial Narrow" w:hAnsi="Arial Narrow" w:cs="Times New Roman"/>
          <w:sz w:val="28"/>
          <w:szCs w:val="28"/>
          <w:lang w:eastAsia="x-none"/>
        </w:rPr>
      </w:pPr>
    </w:p>
    <w:p w:rsidR="004407CB" w:rsidRPr="004407CB" w:rsidRDefault="004407CB" w:rsidP="004407CB">
      <w:pPr>
        <w:spacing w:before="120" w:after="120"/>
        <w:ind w:left="2655"/>
        <w:jc w:val="both"/>
        <w:rPr>
          <w:rFonts w:ascii="Arial Narrow" w:hAnsi="Arial Narrow" w:cs="Times New Roman"/>
          <w:b/>
          <w:sz w:val="28"/>
          <w:szCs w:val="28"/>
          <w:lang w:eastAsia="x-none"/>
        </w:rPr>
      </w:pPr>
      <w:r w:rsidRPr="004407CB">
        <w:rPr>
          <w:rFonts w:ascii="Arial Narrow" w:hAnsi="Arial Narrow" w:cs="Times New Roman"/>
          <w:b/>
          <w:sz w:val="28"/>
          <w:szCs w:val="28"/>
          <w:lang w:eastAsia="x-none"/>
        </w:rPr>
        <w:t>Dentro de Otros proyectos, hay que destacar las siguientes actuaciones:</w:t>
      </w:r>
    </w:p>
    <w:p w:rsidR="004407CB" w:rsidRPr="004407CB" w:rsidRDefault="004407CB" w:rsidP="004407CB">
      <w:pPr>
        <w:numPr>
          <w:ilvl w:val="4"/>
          <w:numId w:val="45"/>
        </w:numPr>
        <w:spacing w:before="120" w:after="120"/>
        <w:jc w:val="both"/>
        <w:rPr>
          <w:rFonts w:ascii="Arial Narrow" w:hAnsi="Arial Narrow" w:cs="Times New Roman"/>
          <w:sz w:val="28"/>
          <w:szCs w:val="28"/>
          <w:lang w:eastAsia="x-none"/>
        </w:rPr>
      </w:pPr>
      <w:r w:rsidRPr="004407CB">
        <w:rPr>
          <w:rFonts w:ascii="Arial Narrow" w:hAnsi="Arial Narrow" w:cs="Times New Roman"/>
          <w:sz w:val="28"/>
          <w:szCs w:val="28"/>
          <w:lang w:eastAsia="x-none"/>
        </w:rPr>
        <w:t>ADIF Alta Velocidad: con un incremento de un 27% respecto al 2018. Las actuaciones irán destinadas a L.A.V. Levante (13,2 M€), L.A.V. Murcia-Almería (177,47 M€), y Murcia-Cartagena (15 M€, incluidas estaciones de Torre-Pacheco y H Cartagena).</w:t>
      </w:r>
    </w:p>
    <w:p w:rsidR="004407CB" w:rsidRPr="004407CB" w:rsidRDefault="004407CB" w:rsidP="004407CB">
      <w:pPr>
        <w:numPr>
          <w:ilvl w:val="4"/>
          <w:numId w:val="45"/>
        </w:numPr>
        <w:spacing w:before="120" w:after="120"/>
        <w:jc w:val="both"/>
        <w:rPr>
          <w:rFonts w:ascii="Arial Narrow" w:hAnsi="Arial Narrow" w:cs="Times New Roman"/>
          <w:sz w:val="28"/>
          <w:szCs w:val="28"/>
          <w:lang w:eastAsia="x-none"/>
        </w:rPr>
      </w:pPr>
      <w:r w:rsidRPr="004407CB">
        <w:rPr>
          <w:rFonts w:ascii="Arial Narrow" w:hAnsi="Arial Narrow" w:cs="Times New Roman"/>
          <w:sz w:val="28"/>
          <w:szCs w:val="28"/>
          <w:lang w:eastAsia="x-none"/>
        </w:rPr>
        <w:t>Puertos del Estado y Autoridades Portuarias: con una dotación de 36,67 M€ lo que supone 2,74 M€ más que en 2018, que irán destinados íntegramente a actuaciones en Cartagena.</w:t>
      </w:r>
    </w:p>
    <w:p w:rsidR="004407CB" w:rsidRPr="004407CB" w:rsidRDefault="004407CB" w:rsidP="004407CB">
      <w:pPr>
        <w:numPr>
          <w:ilvl w:val="4"/>
          <w:numId w:val="45"/>
        </w:numPr>
        <w:spacing w:before="120" w:after="120"/>
        <w:jc w:val="both"/>
        <w:rPr>
          <w:rFonts w:ascii="Arial Narrow" w:hAnsi="Arial Narrow" w:cs="Times New Roman"/>
          <w:sz w:val="28"/>
          <w:szCs w:val="28"/>
          <w:lang w:eastAsia="x-none"/>
        </w:rPr>
      </w:pPr>
      <w:r w:rsidRPr="004407CB">
        <w:rPr>
          <w:rFonts w:ascii="Arial Narrow" w:hAnsi="Arial Narrow" w:cs="Times New Roman"/>
          <w:sz w:val="28"/>
          <w:szCs w:val="28"/>
          <w:lang w:eastAsia="x-none"/>
        </w:rPr>
        <w:t>Renfe Operadora, cuenta con un presupuesto de 6,2 M€ (2,7 M€ más que el año precedente) que se destinarán mayoritariamente a grandes reparaciones.</w:t>
      </w:r>
    </w:p>
    <w:p w:rsidR="004407CB" w:rsidRPr="004407CB" w:rsidRDefault="004407CB" w:rsidP="004407CB">
      <w:pPr>
        <w:numPr>
          <w:ilvl w:val="4"/>
          <w:numId w:val="45"/>
        </w:numPr>
        <w:spacing w:before="120" w:after="120"/>
        <w:jc w:val="both"/>
        <w:rPr>
          <w:rFonts w:ascii="Arial Narrow" w:hAnsi="Arial Narrow" w:cs="Times New Roman"/>
          <w:sz w:val="28"/>
          <w:szCs w:val="28"/>
          <w:lang w:eastAsia="x-none"/>
        </w:rPr>
      </w:pPr>
      <w:r w:rsidRPr="004407CB">
        <w:rPr>
          <w:rFonts w:ascii="Arial Narrow" w:hAnsi="Arial Narrow" w:cs="Times New Roman"/>
          <w:sz w:val="28"/>
          <w:szCs w:val="28"/>
          <w:lang w:eastAsia="x-none"/>
        </w:rPr>
        <w:t>Sociedad de infraestructuras y equipamientos penitenciarios (SIEPSE): se ha incrementado el presupuesto en 1,3 M€ que se destinará al 2º Plan de reformas C.P. Murcia I.</w:t>
      </w:r>
    </w:p>
    <w:p w:rsidR="004407CB" w:rsidRPr="008D7EFF" w:rsidRDefault="004407CB" w:rsidP="004407CB">
      <w:pPr>
        <w:spacing w:before="120" w:after="120"/>
        <w:ind w:left="1080"/>
        <w:jc w:val="right"/>
        <w:rPr>
          <w:bCs/>
          <w:sz w:val="12"/>
          <w:szCs w:val="24"/>
        </w:rPr>
      </w:pPr>
      <w:r>
        <w:rPr>
          <w:bCs/>
          <w:sz w:val="12"/>
          <w:szCs w:val="24"/>
        </w:rPr>
        <w:t xml:space="preserve"> Datos en millones de euros</w:t>
      </w:r>
    </w:p>
    <w:tbl>
      <w:tblPr>
        <w:tblW w:w="6804" w:type="dxa"/>
        <w:tblInd w:w="3490" w:type="dxa"/>
        <w:tblCellMar>
          <w:left w:w="70" w:type="dxa"/>
          <w:right w:w="70" w:type="dxa"/>
        </w:tblCellMar>
        <w:tblLook w:val="04A0" w:firstRow="1" w:lastRow="0" w:firstColumn="1" w:lastColumn="0" w:noHBand="0" w:noVBand="1"/>
      </w:tblPr>
      <w:tblGrid>
        <w:gridCol w:w="1985"/>
        <w:gridCol w:w="1198"/>
        <w:gridCol w:w="1211"/>
        <w:gridCol w:w="1418"/>
        <w:gridCol w:w="992"/>
      </w:tblGrid>
      <w:tr w:rsidR="004407CB" w:rsidRPr="001F63C3" w:rsidTr="004407CB">
        <w:trPr>
          <w:trHeight w:val="423"/>
        </w:trPr>
        <w:tc>
          <w:tcPr>
            <w:tcW w:w="19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07CB" w:rsidRPr="001F63C3" w:rsidRDefault="004407CB" w:rsidP="00726148">
            <w:pPr>
              <w:jc w:val="center"/>
              <w:rPr>
                <w:b/>
                <w:bCs/>
              </w:rPr>
            </w:pPr>
            <w:r w:rsidRPr="001F63C3">
              <w:rPr>
                <w:b/>
                <w:bCs/>
              </w:rPr>
              <w:t>REGIÓN DE MURCIA</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4407CB" w:rsidRPr="001F63C3" w:rsidRDefault="004407CB" w:rsidP="00726148">
            <w:pPr>
              <w:jc w:val="center"/>
              <w:rPr>
                <w:b/>
                <w:bCs/>
              </w:rPr>
            </w:pPr>
            <w:r w:rsidRPr="001F63C3">
              <w:rPr>
                <w:b/>
                <w:bCs/>
              </w:rPr>
              <w:t>2018</w:t>
            </w:r>
          </w:p>
        </w:tc>
        <w:tc>
          <w:tcPr>
            <w:tcW w:w="1211" w:type="dxa"/>
            <w:tcBorders>
              <w:top w:val="single" w:sz="4" w:space="0" w:color="auto"/>
              <w:left w:val="nil"/>
              <w:bottom w:val="single" w:sz="4" w:space="0" w:color="auto"/>
              <w:right w:val="single" w:sz="4" w:space="0" w:color="auto"/>
            </w:tcBorders>
            <w:shd w:val="clear" w:color="000000" w:fill="FFFFFF"/>
            <w:vAlign w:val="center"/>
            <w:hideMark/>
          </w:tcPr>
          <w:p w:rsidR="004407CB" w:rsidRPr="001F63C3" w:rsidRDefault="004407CB" w:rsidP="00726148">
            <w:pPr>
              <w:jc w:val="center"/>
              <w:rPr>
                <w:b/>
                <w:bCs/>
              </w:rPr>
            </w:pPr>
            <w:r w:rsidRPr="001F63C3">
              <w:rPr>
                <w:b/>
                <w:bCs/>
              </w:rPr>
              <w:t>2019</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4407CB" w:rsidRPr="001F63C3" w:rsidRDefault="004407CB" w:rsidP="00726148">
            <w:pPr>
              <w:jc w:val="center"/>
              <w:rPr>
                <w:b/>
                <w:bCs/>
              </w:rPr>
            </w:pPr>
            <w:r w:rsidRPr="001F63C3">
              <w:rPr>
                <w:b/>
                <w:bCs/>
              </w:rPr>
              <w:t>Diferencia</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4407CB" w:rsidRPr="001F63C3" w:rsidRDefault="004407CB" w:rsidP="00726148">
            <w:pPr>
              <w:jc w:val="center"/>
              <w:rPr>
                <w:b/>
                <w:bCs/>
              </w:rPr>
            </w:pPr>
            <w:r w:rsidRPr="001F63C3">
              <w:rPr>
                <w:b/>
                <w:bCs/>
              </w:rPr>
              <w:t>%</w:t>
            </w:r>
          </w:p>
        </w:tc>
      </w:tr>
      <w:tr w:rsidR="004407CB" w:rsidRPr="001F63C3" w:rsidTr="004407CB">
        <w:trPr>
          <w:trHeight w:val="211"/>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4407CB" w:rsidRPr="001F63C3" w:rsidRDefault="004407CB" w:rsidP="00726148">
            <w:r w:rsidRPr="001F63C3">
              <w:t>Capítulo 6</w:t>
            </w:r>
          </w:p>
        </w:tc>
        <w:tc>
          <w:tcPr>
            <w:tcW w:w="1198" w:type="dxa"/>
            <w:tcBorders>
              <w:top w:val="nil"/>
              <w:left w:val="nil"/>
              <w:bottom w:val="single" w:sz="4" w:space="0" w:color="auto"/>
              <w:right w:val="single" w:sz="4" w:space="0" w:color="auto"/>
            </w:tcBorders>
            <w:shd w:val="clear" w:color="000000" w:fill="FFFFFF"/>
            <w:vAlign w:val="center"/>
            <w:hideMark/>
          </w:tcPr>
          <w:p w:rsidR="004407CB" w:rsidRPr="001F63C3" w:rsidRDefault="004407CB" w:rsidP="00726148">
            <w:pPr>
              <w:jc w:val="right"/>
            </w:pPr>
            <w:r w:rsidRPr="001F63C3">
              <w:t>341,7</w:t>
            </w:r>
          </w:p>
        </w:tc>
        <w:tc>
          <w:tcPr>
            <w:tcW w:w="1211" w:type="dxa"/>
            <w:tcBorders>
              <w:top w:val="nil"/>
              <w:left w:val="nil"/>
              <w:bottom w:val="single" w:sz="4" w:space="0" w:color="auto"/>
              <w:right w:val="single" w:sz="4" w:space="0" w:color="auto"/>
            </w:tcBorders>
            <w:shd w:val="clear" w:color="000000" w:fill="FFFFFF"/>
            <w:vAlign w:val="center"/>
            <w:hideMark/>
          </w:tcPr>
          <w:p w:rsidR="004407CB" w:rsidRPr="001F63C3" w:rsidRDefault="004407CB" w:rsidP="00726148">
            <w:pPr>
              <w:jc w:val="right"/>
            </w:pPr>
            <w:r w:rsidRPr="001F63C3">
              <w:t>374,32</w:t>
            </w:r>
          </w:p>
        </w:tc>
        <w:tc>
          <w:tcPr>
            <w:tcW w:w="1418" w:type="dxa"/>
            <w:tcBorders>
              <w:top w:val="nil"/>
              <w:left w:val="nil"/>
              <w:bottom w:val="single" w:sz="4" w:space="0" w:color="auto"/>
              <w:right w:val="single" w:sz="4" w:space="0" w:color="auto"/>
            </w:tcBorders>
            <w:shd w:val="clear" w:color="000000" w:fill="FFFFFF"/>
            <w:vAlign w:val="center"/>
            <w:hideMark/>
          </w:tcPr>
          <w:p w:rsidR="004407CB" w:rsidRPr="001F63C3" w:rsidRDefault="004407CB" w:rsidP="00726148">
            <w:pPr>
              <w:jc w:val="right"/>
            </w:pPr>
            <w:r w:rsidRPr="001F63C3">
              <w:t>32,62</w:t>
            </w:r>
          </w:p>
        </w:tc>
        <w:tc>
          <w:tcPr>
            <w:tcW w:w="992" w:type="dxa"/>
            <w:tcBorders>
              <w:top w:val="nil"/>
              <w:left w:val="nil"/>
              <w:bottom w:val="single" w:sz="4" w:space="0" w:color="auto"/>
              <w:right w:val="single" w:sz="4" w:space="0" w:color="auto"/>
            </w:tcBorders>
            <w:shd w:val="clear" w:color="000000" w:fill="FFFFFF"/>
            <w:vAlign w:val="center"/>
            <w:hideMark/>
          </w:tcPr>
          <w:p w:rsidR="004407CB" w:rsidRPr="001F63C3" w:rsidRDefault="004407CB" w:rsidP="00726148">
            <w:pPr>
              <w:jc w:val="right"/>
              <w:rPr>
                <w:i/>
                <w:iCs/>
              </w:rPr>
            </w:pPr>
            <w:r w:rsidRPr="001F63C3">
              <w:rPr>
                <w:i/>
                <w:iCs/>
              </w:rPr>
              <w:t>9,55</w:t>
            </w:r>
          </w:p>
        </w:tc>
      </w:tr>
      <w:tr w:rsidR="004407CB" w:rsidRPr="001F63C3" w:rsidTr="004407CB">
        <w:trPr>
          <w:trHeight w:val="211"/>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4407CB" w:rsidRPr="001F63C3" w:rsidRDefault="004407CB" w:rsidP="00726148">
            <w:r w:rsidRPr="001F63C3">
              <w:t>FFCI</w:t>
            </w:r>
          </w:p>
        </w:tc>
        <w:tc>
          <w:tcPr>
            <w:tcW w:w="1198" w:type="dxa"/>
            <w:tcBorders>
              <w:top w:val="nil"/>
              <w:left w:val="nil"/>
              <w:bottom w:val="single" w:sz="4" w:space="0" w:color="auto"/>
              <w:right w:val="single" w:sz="4" w:space="0" w:color="auto"/>
            </w:tcBorders>
            <w:shd w:val="clear" w:color="000000" w:fill="FFFFFF"/>
            <w:vAlign w:val="center"/>
            <w:hideMark/>
          </w:tcPr>
          <w:p w:rsidR="004407CB" w:rsidRPr="001F63C3" w:rsidRDefault="004407CB" w:rsidP="00726148">
            <w:pPr>
              <w:jc w:val="right"/>
            </w:pPr>
            <w:r w:rsidRPr="001F63C3">
              <w:t>21,7</w:t>
            </w:r>
          </w:p>
        </w:tc>
        <w:tc>
          <w:tcPr>
            <w:tcW w:w="1211" w:type="dxa"/>
            <w:tcBorders>
              <w:top w:val="nil"/>
              <w:left w:val="nil"/>
              <w:bottom w:val="single" w:sz="4" w:space="0" w:color="auto"/>
              <w:right w:val="single" w:sz="4" w:space="0" w:color="auto"/>
            </w:tcBorders>
            <w:shd w:val="clear" w:color="000000" w:fill="FFFFFF"/>
            <w:vAlign w:val="center"/>
            <w:hideMark/>
          </w:tcPr>
          <w:p w:rsidR="004407CB" w:rsidRPr="001F63C3" w:rsidRDefault="004407CB" w:rsidP="00726148">
            <w:pPr>
              <w:jc w:val="right"/>
            </w:pPr>
            <w:r w:rsidRPr="001F63C3">
              <w:t>20,91</w:t>
            </w:r>
          </w:p>
        </w:tc>
        <w:tc>
          <w:tcPr>
            <w:tcW w:w="1418" w:type="dxa"/>
            <w:tcBorders>
              <w:top w:val="nil"/>
              <w:left w:val="nil"/>
              <w:bottom w:val="single" w:sz="4" w:space="0" w:color="auto"/>
              <w:right w:val="single" w:sz="4" w:space="0" w:color="auto"/>
            </w:tcBorders>
            <w:shd w:val="clear" w:color="000000" w:fill="FFFFFF"/>
            <w:vAlign w:val="center"/>
            <w:hideMark/>
          </w:tcPr>
          <w:p w:rsidR="004407CB" w:rsidRPr="001F63C3" w:rsidRDefault="004407CB" w:rsidP="00726148">
            <w:pPr>
              <w:jc w:val="right"/>
            </w:pPr>
            <w:r w:rsidRPr="001F63C3">
              <w:t>-0,79</w:t>
            </w:r>
          </w:p>
        </w:tc>
        <w:tc>
          <w:tcPr>
            <w:tcW w:w="992" w:type="dxa"/>
            <w:tcBorders>
              <w:top w:val="nil"/>
              <w:left w:val="nil"/>
              <w:bottom w:val="single" w:sz="4" w:space="0" w:color="auto"/>
              <w:right w:val="single" w:sz="4" w:space="0" w:color="auto"/>
            </w:tcBorders>
            <w:shd w:val="clear" w:color="000000" w:fill="FFFFFF"/>
            <w:vAlign w:val="center"/>
            <w:hideMark/>
          </w:tcPr>
          <w:p w:rsidR="004407CB" w:rsidRPr="001F63C3" w:rsidRDefault="004407CB" w:rsidP="00726148">
            <w:pPr>
              <w:jc w:val="right"/>
              <w:rPr>
                <w:i/>
                <w:iCs/>
              </w:rPr>
            </w:pPr>
            <w:r w:rsidRPr="001F63C3">
              <w:rPr>
                <w:i/>
                <w:iCs/>
              </w:rPr>
              <w:t>-3,64</w:t>
            </w:r>
          </w:p>
        </w:tc>
      </w:tr>
      <w:tr w:rsidR="004407CB" w:rsidRPr="001F63C3" w:rsidTr="004407CB">
        <w:trPr>
          <w:trHeight w:val="211"/>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4407CB" w:rsidRPr="001F63C3" w:rsidRDefault="004407CB" w:rsidP="00726148">
            <w:r w:rsidRPr="001F63C3">
              <w:t>Capítulo 7*</w:t>
            </w:r>
          </w:p>
        </w:tc>
        <w:tc>
          <w:tcPr>
            <w:tcW w:w="1198" w:type="dxa"/>
            <w:tcBorders>
              <w:top w:val="nil"/>
              <w:left w:val="nil"/>
              <w:bottom w:val="single" w:sz="4" w:space="0" w:color="auto"/>
              <w:right w:val="single" w:sz="4" w:space="0" w:color="auto"/>
            </w:tcBorders>
            <w:shd w:val="clear" w:color="000000" w:fill="FFFFFF"/>
            <w:vAlign w:val="center"/>
            <w:hideMark/>
          </w:tcPr>
          <w:p w:rsidR="004407CB" w:rsidRPr="001F63C3" w:rsidRDefault="004407CB" w:rsidP="00726148">
            <w:pPr>
              <w:jc w:val="right"/>
            </w:pPr>
            <w:r w:rsidRPr="001F63C3">
              <w:t>14,8</w:t>
            </w:r>
          </w:p>
        </w:tc>
        <w:tc>
          <w:tcPr>
            <w:tcW w:w="1211" w:type="dxa"/>
            <w:tcBorders>
              <w:top w:val="nil"/>
              <w:left w:val="nil"/>
              <w:bottom w:val="single" w:sz="4" w:space="0" w:color="auto"/>
              <w:right w:val="single" w:sz="4" w:space="0" w:color="auto"/>
            </w:tcBorders>
            <w:shd w:val="clear" w:color="000000" w:fill="FFFFFF"/>
            <w:vAlign w:val="center"/>
            <w:hideMark/>
          </w:tcPr>
          <w:p w:rsidR="004407CB" w:rsidRPr="001F63C3" w:rsidRDefault="004407CB" w:rsidP="00726148">
            <w:pPr>
              <w:jc w:val="right"/>
            </w:pPr>
            <w:r w:rsidRPr="001F63C3">
              <w:t>51,70</w:t>
            </w:r>
          </w:p>
        </w:tc>
        <w:tc>
          <w:tcPr>
            <w:tcW w:w="1418" w:type="dxa"/>
            <w:tcBorders>
              <w:top w:val="nil"/>
              <w:left w:val="nil"/>
              <w:bottom w:val="single" w:sz="4" w:space="0" w:color="auto"/>
              <w:right w:val="single" w:sz="4" w:space="0" w:color="auto"/>
            </w:tcBorders>
            <w:shd w:val="clear" w:color="000000" w:fill="FFFFFF"/>
            <w:vAlign w:val="center"/>
            <w:hideMark/>
          </w:tcPr>
          <w:p w:rsidR="004407CB" w:rsidRPr="001F63C3" w:rsidRDefault="004407CB" w:rsidP="00726148">
            <w:pPr>
              <w:jc w:val="right"/>
            </w:pPr>
            <w:r w:rsidRPr="001F63C3">
              <w:t>36,90</w:t>
            </w:r>
          </w:p>
        </w:tc>
        <w:tc>
          <w:tcPr>
            <w:tcW w:w="992" w:type="dxa"/>
            <w:tcBorders>
              <w:top w:val="nil"/>
              <w:left w:val="nil"/>
              <w:bottom w:val="single" w:sz="4" w:space="0" w:color="auto"/>
              <w:right w:val="single" w:sz="4" w:space="0" w:color="auto"/>
            </w:tcBorders>
            <w:shd w:val="clear" w:color="000000" w:fill="FFFFFF"/>
            <w:vAlign w:val="center"/>
            <w:hideMark/>
          </w:tcPr>
          <w:p w:rsidR="004407CB" w:rsidRPr="001F63C3" w:rsidRDefault="004407CB" w:rsidP="00726148">
            <w:pPr>
              <w:jc w:val="right"/>
              <w:rPr>
                <w:i/>
                <w:iCs/>
              </w:rPr>
            </w:pPr>
            <w:r w:rsidRPr="001F63C3">
              <w:rPr>
                <w:i/>
                <w:iCs/>
              </w:rPr>
              <w:t>249,32</w:t>
            </w:r>
          </w:p>
        </w:tc>
      </w:tr>
      <w:tr w:rsidR="004407CB" w:rsidRPr="001F63C3" w:rsidTr="004407CB">
        <w:trPr>
          <w:trHeight w:val="211"/>
        </w:trPr>
        <w:tc>
          <w:tcPr>
            <w:tcW w:w="1985" w:type="dxa"/>
            <w:tcBorders>
              <w:top w:val="nil"/>
              <w:left w:val="single" w:sz="4" w:space="0" w:color="auto"/>
              <w:bottom w:val="single" w:sz="4" w:space="0" w:color="auto"/>
              <w:right w:val="single" w:sz="4" w:space="0" w:color="auto"/>
            </w:tcBorders>
            <w:shd w:val="clear" w:color="000000" w:fill="FFFFFF"/>
            <w:vAlign w:val="center"/>
            <w:hideMark/>
          </w:tcPr>
          <w:p w:rsidR="004407CB" w:rsidRPr="001F63C3" w:rsidRDefault="004407CB" w:rsidP="00726148">
            <w:r w:rsidRPr="001F63C3">
              <w:t>Total</w:t>
            </w:r>
          </w:p>
        </w:tc>
        <w:tc>
          <w:tcPr>
            <w:tcW w:w="1198" w:type="dxa"/>
            <w:tcBorders>
              <w:top w:val="nil"/>
              <w:left w:val="nil"/>
              <w:bottom w:val="single" w:sz="4" w:space="0" w:color="auto"/>
              <w:right w:val="single" w:sz="4" w:space="0" w:color="auto"/>
            </w:tcBorders>
            <w:shd w:val="clear" w:color="000000" w:fill="FFFFFF"/>
            <w:vAlign w:val="center"/>
            <w:hideMark/>
          </w:tcPr>
          <w:p w:rsidR="004407CB" w:rsidRPr="001F63C3" w:rsidRDefault="004407CB" w:rsidP="00726148">
            <w:pPr>
              <w:jc w:val="right"/>
            </w:pPr>
            <w:r w:rsidRPr="001F63C3">
              <w:t>378,1</w:t>
            </w:r>
          </w:p>
        </w:tc>
        <w:tc>
          <w:tcPr>
            <w:tcW w:w="1211" w:type="dxa"/>
            <w:tcBorders>
              <w:top w:val="nil"/>
              <w:left w:val="nil"/>
              <w:bottom w:val="single" w:sz="4" w:space="0" w:color="auto"/>
              <w:right w:val="single" w:sz="4" w:space="0" w:color="auto"/>
            </w:tcBorders>
            <w:shd w:val="clear" w:color="000000" w:fill="FFFFFF"/>
            <w:vAlign w:val="center"/>
            <w:hideMark/>
          </w:tcPr>
          <w:p w:rsidR="004407CB" w:rsidRPr="001F63C3" w:rsidRDefault="004407CB" w:rsidP="00726148">
            <w:pPr>
              <w:jc w:val="right"/>
            </w:pPr>
            <w:r w:rsidRPr="001F63C3">
              <w:t>446,93</w:t>
            </w:r>
          </w:p>
        </w:tc>
        <w:tc>
          <w:tcPr>
            <w:tcW w:w="1418" w:type="dxa"/>
            <w:tcBorders>
              <w:top w:val="nil"/>
              <w:left w:val="nil"/>
              <w:bottom w:val="single" w:sz="4" w:space="0" w:color="auto"/>
              <w:right w:val="single" w:sz="4" w:space="0" w:color="auto"/>
            </w:tcBorders>
            <w:shd w:val="clear" w:color="000000" w:fill="FFFFFF"/>
            <w:vAlign w:val="center"/>
            <w:hideMark/>
          </w:tcPr>
          <w:p w:rsidR="004407CB" w:rsidRPr="001F63C3" w:rsidRDefault="004407CB" w:rsidP="00726148">
            <w:pPr>
              <w:jc w:val="right"/>
            </w:pPr>
            <w:r w:rsidRPr="001F63C3">
              <w:t>68,83</w:t>
            </w:r>
          </w:p>
        </w:tc>
        <w:tc>
          <w:tcPr>
            <w:tcW w:w="992" w:type="dxa"/>
            <w:tcBorders>
              <w:top w:val="nil"/>
              <w:left w:val="nil"/>
              <w:bottom w:val="single" w:sz="4" w:space="0" w:color="auto"/>
              <w:right w:val="single" w:sz="4" w:space="0" w:color="auto"/>
            </w:tcBorders>
            <w:shd w:val="clear" w:color="000000" w:fill="FFFFFF"/>
            <w:vAlign w:val="center"/>
            <w:hideMark/>
          </w:tcPr>
          <w:p w:rsidR="004407CB" w:rsidRPr="001F63C3" w:rsidRDefault="004407CB" w:rsidP="00726148">
            <w:pPr>
              <w:jc w:val="right"/>
              <w:rPr>
                <w:i/>
                <w:iCs/>
              </w:rPr>
            </w:pPr>
            <w:r w:rsidRPr="001F63C3">
              <w:rPr>
                <w:i/>
                <w:iCs/>
              </w:rPr>
              <w:t>18,20</w:t>
            </w:r>
          </w:p>
        </w:tc>
      </w:tr>
    </w:tbl>
    <w:p w:rsidR="004407CB" w:rsidRDefault="004407CB" w:rsidP="004407CB"/>
    <w:p w:rsidR="004407CB" w:rsidRDefault="004407CB" w:rsidP="004407CB">
      <w:pPr>
        <w:rPr>
          <w:b/>
          <w:szCs w:val="24"/>
          <w:u w:val="single"/>
        </w:rPr>
      </w:pPr>
    </w:p>
    <w:p w:rsidR="004407CB" w:rsidRDefault="004407CB" w:rsidP="004407CB">
      <w:pPr>
        <w:rPr>
          <w:b/>
          <w:szCs w:val="24"/>
          <w:u w:val="single"/>
        </w:rPr>
      </w:pPr>
    </w:p>
    <w:p w:rsidR="004407CB" w:rsidRPr="00B55643" w:rsidRDefault="004407CB" w:rsidP="004407CB">
      <w:pPr>
        <w:ind w:left="2805"/>
        <w:rPr>
          <w:b/>
          <w:szCs w:val="24"/>
          <w:u w:val="single"/>
        </w:rPr>
      </w:pPr>
      <w:r w:rsidRPr="00B55643">
        <w:rPr>
          <w:b/>
          <w:szCs w:val="24"/>
          <w:u w:val="single"/>
        </w:rPr>
        <w:t>Sección 32 (millones de euros):</w:t>
      </w:r>
    </w:p>
    <w:p w:rsidR="004407CB" w:rsidRDefault="004407CB" w:rsidP="004407CB">
      <w:pPr>
        <w:ind w:left="2805"/>
      </w:pPr>
    </w:p>
    <w:p w:rsidR="004407CB" w:rsidRDefault="004407CB" w:rsidP="004407CB">
      <w:pPr>
        <w:pStyle w:val="Prrafodelista"/>
        <w:numPr>
          <w:ilvl w:val="0"/>
          <w:numId w:val="48"/>
        </w:numPr>
        <w:spacing w:after="160" w:line="259" w:lineRule="auto"/>
        <w:ind w:left="3525"/>
        <w:rPr>
          <w:rFonts w:ascii="Arial" w:hAnsi="Arial" w:cs="Arial"/>
        </w:rPr>
      </w:pPr>
      <w:r w:rsidRPr="00B55643">
        <w:rPr>
          <w:rFonts w:ascii="Arial" w:hAnsi="Arial" w:cs="Arial"/>
        </w:rPr>
        <w:t>Al Ayuntamiento de Lorca: 3,00 (se mantiene igual que en 2018)</w:t>
      </w:r>
    </w:p>
    <w:p w:rsidR="004407CB" w:rsidRPr="00C73E3D" w:rsidRDefault="004407CB" w:rsidP="004407CB">
      <w:pPr>
        <w:ind w:left="2805"/>
        <w:rPr>
          <w:szCs w:val="24"/>
        </w:rPr>
      </w:pPr>
    </w:p>
    <w:p w:rsidR="004407CB" w:rsidRDefault="004407CB" w:rsidP="004407CB">
      <w:pPr>
        <w:spacing w:line="280" w:lineRule="atLeast"/>
        <w:ind w:left="2805"/>
        <w:jc w:val="both"/>
        <w:rPr>
          <w:b/>
          <w:bCs/>
          <w:szCs w:val="24"/>
          <w:u w:val="single"/>
        </w:rPr>
      </w:pPr>
      <w:r>
        <w:rPr>
          <w:b/>
          <w:bCs/>
          <w:szCs w:val="24"/>
          <w:u w:val="single"/>
        </w:rPr>
        <w:t>TERRITORIALIZACIÓN DE DERECHOS</w:t>
      </w:r>
    </w:p>
    <w:p w:rsidR="004407CB" w:rsidRDefault="004407CB" w:rsidP="004407CB">
      <w:pPr>
        <w:spacing w:line="280" w:lineRule="atLeast"/>
        <w:ind w:left="2805"/>
        <w:jc w:val="both"/>
        <w:rPr>
          <w:b/>
          <w:bCs/>
          <w:szCs w:val="24"/>
          <w:u w:val="single"/>
        </w:rPr>
      </w:pPr>
    </w:p>
    <w:p w:rsidR="004407CB" w:rsidRDefault="004407CB" w:rsidP="004407CB">
      <w:pPr>
        <w:pStyle w:val="Prrafodelista"/>
        <w:numPr>
          <w:ilvl w:val="2"/>
          <w:numId w:val="48"/>
        </w:numPr>
        <w:spacing w:line="280" w:lineRule="atLeast"/>
        <w:jc w:val="both"/>
        <w:rPr>
          <w:rFonts w:ascii="Arial" w:hAnsi="Arial" w:cs="Arial"/>
          <w:bCs/>
        </w:rPr>
      </w:pPr>
      <w:r w:rsidRPr="004407CB">
        <w:rPr>
          <w:rFonts w:ascii="Arial" w:hAnsi="Arial" w:cs="Arial"/>
          <w:bCs/>
        </w:rPr>
        <w:t>Revalorización de las pensiones según el IPC en 2018 y 2019. Aumento del 3 % de las pensiones mínimas y no contributivas. Con una inversión de 20 millones de € y 223.367 beneficiarios.</w:t>
      </w:r>
    </w:p>
    <w:p w:rsidR="004407CB" w:rsidRDefault="004407CB" w:rsidP="004407CB">
      <w:pPr>
        <w:pStyle w:val="Prrafodelista"/>
        <w:spacing w:line="280" w:lineRule="atLeast"/>
        <w:ind w:left="2160"/>
        <w:jc w:val="both"/>
        <w:rPr>
          <w:rFonts w:ascii="Arial" w:hAnsi="Arial" w:cs="Arial"/>
          <w:bCs/>
        </w:rPr>
      </w:pPr>
    </w:p>
    <w:p w:rsidR="004407CB" w:rsidRPr="004407CB" w:rsidRDefault="004407CB" w:rsidP="004407CB">
      <w:pPr>
        <w:pStyle w:val="Prrafodelista"/>
        <w:numPr>
          <w:ilvl w:val="2"/>
          <w:numId w:val="48"/>
        </w:numPr>
        <w:spacing w:line="280" w:lineRule="atLeast"/>
        <w:jc w:val="both"/>
        <w:rPr>
          <w:rFonts w:ascii="Arial" w:hAnsi="Arial" w:cs="Arial"/>
          <w:bCs/>
        </w:rPr>
      </w:pPr>
      <w:r w:rsidRPr="004407CB">
        <w:rPr>
          <w:rFonts w:ascii="Arial" w:hAnsi="Arial" w:cs="Arial"/>
          <w:bCs/>
        </w:rPr>
        <w:t xml:space="preserve">Supresión progresiva del copago farmacéutico a los pensionistas. Medidas 2019 con </w:t>
      </w:r>
      <w:r w:rsidRPr="004407CB">
        <w:rPr>
          <w:rFonts w:ascii="Arial" w:hAnsi="Arial" w:cs="Arial"/>
          <w:b/>
          <w:bCs/>
          <w:noProof/>
        </w:rPr>
        <w:t>190.165</w:t>
      </w:r>
      <w:r w:rsidRPr="004407CB">
        <w:rPr>
          <w:rFonts w:ascii="Arial" w:hAnsi="Arial" w:cs="Arial"/>
          <w:b/>
          <w:bCs/>
        </w:rPr>
        <w:t xml:space="preserve"> beneficiarios.</w:t>
      </w:r>
    </w:p>
    <w:p w:rsidR="004407CB" w:rsidRPr="004407CB" w:rsidRDefault="004407CB" w:rsidP="004407CB">
      <w:pPr>
        <w:pStyle w:val="Prrafodelista"/>
        <w:rPr>
          <w:rFonts w:ascii="Arial" w:hAnsi="Arial" w:cs="Arial"/>
          <w:bCs/>
        </w:rPr>
      </w:pPr>
    </w:p>
    <w:p w:rsidR="004407CB" w:rsidRPr="004407CB" w:rsidRDefault="004407CB" w:rsidP="004407CB">
      <w:pPr>
        <w:pStyle w:val="Prrafodelista"/>
        <w:numPr>
          <w:ilvl w:val="2"/>
          <w:numId w:val="48"/>
        </w:numPr>
        <w:spacing w:line="280" w:lineRule="atLeast"/>
        <w:jc w:val="both"/>
        <w:rPr>
          <w:rFonts w:ascii="Arial" w:hAnsi="Arial" w:cs="Arial"/>
          <w:bCs/>
        </w:rPr>
      </w:pPr>
      <w:r w:rsidRPr="004407CB">
        <w:rPr>
          <w:rFonts w:ascii="Arial" w:hAnsi="Arial" w:cs="Arial"/>
          <w:bCs/>
        </w:rPr>
        <w:t xml:space="preserve">Aumento de la dotación para becas con una inversión de </w:t>
      </w:r>
      <w:r w:rsidRPr="004407CB">
        <w:rPr>
          <w:rFonts w:ascii="Arial" w:hAnsi="Arial" w:cs="Arial"/>
          <w:b/>
          <w:bCs/>
          <w:noProof/>
        </w:rPr>
        <w:t>25,5</w:t>
      </w:r>
      <w:r w:rsidRPr="004407CB">
        <w:rPr>
          <w:rFonts w:ascii="Arial" w:hAnsi="Arial" w:cs="Arial"/>
          <w:b/>
          <w:bCs/>
        </w:rPr>
        <w:t xml:space="preserve"> millones de € </w:t>
      </w:r>
      <w:r w:rsidRPr="004407CB">
        <w:rPr>
          <w:rFonts w:ascii="Arial" w:hAnsi="Arial" w:cs="Arial"/>
          <w:bCs/>
        </w:rPr>
        <w:t xml:space="preserve">y </w:t>
      </w:r>
      <w:r w:rsidRPr="004407CB">
        <w:rPr>
          <w:rFonts w:ascii="Arial" w:hAnsi="Arial" w:cs="Arial"/>
          <w:b/>
          <w:bCs/>
          <w:noProof/>
        </w:rPr>
        <w:t>40.520</w:t>
      </w:r>
      <w:r w:rsidRPr="004407CB">
        <w:rPr>
          <w:rFonts w:ascii="Arial" w:hAnsi="Arial" w:cs="Arial"/>
          <w:b/>
          <w:bCs/>
        </w:rPr>
        <w:t xml:space="preserve"> beneficiarios.</w:t>
      </w:r>
    </w:p>
    <w:p w:rsidR="004407CB" w:rsidRPr="004407CB" w:rsidRDefault="004407CB" w:rsidP="004407CB">
      <w:pPr>
        <w:pStyle w:val="Prrafodelista"/>
        <w:rPr>
          <w:rFonts w:ascii="Arial" w:hAnsi="Arial" w:cs="Arial"/>
          <w:bCs/>
        </w:rPr>
      </w:pPr>
    </w:p>
    <w:p w:rsidR="004407CB" w:rsidRPr="004407CB" w:rsidRDefault="004407CB" w:rsidP="004407CB">
      <w:pPr>
        <w:pStyle w:val="Prrafodelista"/>
        <w:numPr>
          <w:ilvl w:val="2"/>
          <w:numId w:val="48"/>
        </w:numPr>
        <w:spacing w:line="280" w:lineRule="atLeast"/>
        <w:jc w:val="both"/>
        <w:rPr>
          <w:rFonts w:ascii="Arial" w:hAnsi="Arial" w:cs="Arial"/>
          <w:bCs/>
        </w:rPr>
      </w:pPr>
      <w:r w:rsidRPr="004407CB">
        <w:rPr>
          <w:rFonts w:ascii="Arial" w:hAnsi="Arial" w:cs="Arial"/>
          <w:bCs/>
        </w:rPr>
        <w:t xml:space="preserve">Ayudas para material escolar en las etapas obligatorias de </w:t>
      </w:r>
      <w:r w:rsidRPr="004407CB">
        <w:rPr>
          <w:rFonts w:ascii="Arial" w:hAnsi="Arial" w:cs="Arial"/>
          <w:b/>
          <w:bCs/>
          <w:noProof/>
        </w:rPr>
        <w:t>2,7</w:t>
      </w:r>
      <w:r w:rsidRPr="004407CB">
        <w:rPr>
          <w:rFonts w:ascii="Arial" w:hAnsi="Arial" w:cs="Arial"/>
          <w:b/>
          <w:bCs/>
        </w:rPr>
        <w:t xml:space="preserve"> millones de €</w:t>
      </w:r>
      <w:r w:rsidRPr="004407CB">
        <w:rPr>
          <w:rFonts w:ascii="Arial" w:hAnsi="Arial" w:cs="Arial"/>
          <w:bCs/>
        </w:rPr>
        <w:t xml:space="preserve"> y </w:t>
      </w:r>
      <w:r w:rsidRPr="004407CB">
        <w:rPr>
          <w:rFonts w:ascii="Arial" w:hAnsi="Arial" w:cs="Arial"/>
          <w:b/>
          <w:bCs/>
          <w:noProof/>
        </w:rPr>
        <w:t>25.526</w:t>
      </w:r>
      <w:r w:rsidRPr="004407CB">
        <w:rPr>
          <w:rFonts w:ascii="Arial" w:hAnsi="Arial" w:cs="Arial"/>
          <w:b/>
          <w:bCs/>
        </w:rPr>
        <w:t xml:space="preserve"> beneficiarios.</w:t>
      </w:r>
    </w:p>
    <w:p w:rsidR="004407CB" w:rsidRPr="004407CB" w:rsidRDefault="004407CB" w:rsidP="004407CB">
      <w:pPr>
        <w:pStyle w:val="Prrafodelista"/>
        <w:rPr>
          <w:rFonts w:ascii="Arial" w:hAnsi="Arial" w:cs="Arial"/>
          <w:bCs/>
        </w:rPr>
      </w:pPr>
    </w:p>
    <w:p w:rsidR="004407CB" w:rsidRPr="004407CB" w:rsidRDefault="004407CB" w:rsidP="004407CB">
      <w:pPr>
        <w:pStyle w:val="Prrafodelista"/>
        <w:numPr>
          <w:ilvl w:val="2"/>
          <w:numId w:val="48"/>
        </w:numPr>
        <w:spacing w:line="280" w:lineRule="atLeast"/>
        <w:jc w:val="both"/>
        <w:rPr>
          <w:rFonts w:ascii="Arial" w:hAnsi="Arial" w:cs="Arial"/>
          <w:bCs/>
        </w:rPr>
      </w:pPr>
      <w:r w:rsidRPr="004407CB">
        <w:rPr>
          <w:rFonts w:ascii="Arial" w:hAnsi="Arial" w:cs="Arial"/>
          <w:bCs/>
        </w:rPr>
        <w:t xml:space="preserve">Recuperación de la cotización a la Seguridad Social de los cuidadores con una inversión de </w:t>
      </w:r>
      <w:r w:rsidRPr="004407CB">
        <w:rPr>
          <w:rFonts w:ascii="Arial" w:hAnsi="Arial" w:cs="Arial"/>
          <w:b/>
          <w:bCs/>
          <w:noProof/>
        </w:rPr>
        <w:t>13,4</w:t>
      </w:r>
      <w:r w:rsidRPr="004407CB">
        <w:rPr>
          <w:rFonts w:ascii="Arial" w:hAnsi="Arial" w:cs="Arial"/>
          <w:b/>
          <w:bCs/>
        </w:rPr>
        <w:t xml:space="preserve"> millones de €</w:t>
      </w:r>
      <w:r w:rsidRPr="004407CB">
        <w:rPr>
          <w:rFonts w:ascii="Arial" w:hAnsi="Arial" w:cs="Arial"/>
          <w:bCs/>
        </w:rPr>
        <w:t xml:space="preserve"> y un impacto de </w:t>
      </w:r>
      <w:r w:rsidRPr="004407CB">
        <w:rPr>
          <w:rFonts w:ascii="Arial" w:hAnsi="Arial" w:cs="Arial"/>
          <w:b/>
          <w:bCs/>
          <w:noProof/>
        </w:rPr>
        <w:t>7.643</w:t>
      </w:r>
      <w:r w:rsidRPr="004407CB">
        <w:rPr>
          <w:rFonts w:ascii="Arial" w:hAnsi="Arial" w:cs="Arial"/>
          <w:b/>
          <w:bCs/>
        </w:rPr>
        <w:t xml:space="preserve"> beneficiarios.</w:t>
      </w:r>
    </w:p>
    <w:p w:rsidR="004407CB" w:rsidRPr="004407CB" w:rsidRDefault="004407CB" w:rsidP="004407CB">
      <w:pPr>
        <w:pStyle w:val="Prrafodelista"/>
        <w:rPr>
          <w:rFonts w:ascii="Arial" w:hAnsi="Arial" w:cs="Arial"/>
          <w:bCs/>
        </w:rPr>
      </w:pPr>
    </w:p>
    <w:p w:rsidR="004407CB" w:rsidRPr="004407CB" w:rsidRDefault="004407CB" w:rsidP="004407CB">
      <w:pPr>
        <w:pStyle w:val="Prrafodelista"/>
        <w:numPr>
          <w:ilvl w:val="2"/>
          <w:numId w:val="48"/>
        </w:numPr>
        <w:spacing w:line="280" w:lineRule="atLeast"/>
        <w:jc w:val="both"/>
        <w:rPr>
          <w:rFonts w:ascii="Arial" w:hAnsi="Arial" w:cs="Arial"/>
          <w:bCs/>
        </w:rPr>
      </w:pPr>
      <w:r w:rsidRPr="004407CB">
        <w:rPr>
          <w:rFonts w:ascii="Arial" w:hAnsi="Arial" w:cs="Arial"/>
          <w:bCs/>
        </w:rPr>
        <w:t xml:space="preserve">Recuperación del subsidio por desempleo para mayores de 52 años cuya inversión es de </w:t>
      </w:r>
      <w:r w:rsidRPr="004407CB">
        <w:rPr>
          <w:rFonts w:ascii="Arial" w:hAnsi="Arial" w:cs="Arial"/>
          <w:b/>
          <w:bCs/>
          <w:noProof/>
        </w:rPr>
        <w:t>8,7</w:t>
      </w:r>
      <w:r w:rsidRPr="004407CB">
        <w:rPr>
          <w:rFonts w:ascii="Arial" w:hAnsi="Arial" w:cs="Arial"/>
          <w:b/>
          <w:bCs/>
        </w:rPr>
        <w:t xml:space="preserve"> millones de €</w:t>
      </w:r>
      <w:r w:rsidRPr="004407CB">
        <w:rPr>
          <w:rFonts w:ascii="Arial" w:hAnsi="Arial" w:cs="Arial"/>
          <w:bCs/>
        </w:rPr>
        <w:t xml:space="preserve"> y con </w:t>
      </w:r>
      <w:r w:rsidRPr="004407CB">
        <w:rPr>
          <w:rFonts w:ascii="Arial" w:hAnsi="Arial" w:cs="Arial"/>
          <w:b/>
          <w:bCs/>
          <w:noProof/>
        </w:rPr>
        <w:t>3.064</w:t>
      </w:r>
      <w:r w:rsidRPr="004407CB">
        <w:rPr>
          <w:rFonts w:ascii="Arial" w:hAnsi="Arial" w:cs="Arial"/>
          <w:b/>
          <w:bCs/>
        </w:rPr>
        <w:t xml:space="preserve"> beneficiarios.</w:t>
      </w:r>
    </w:p>
    <w:p w:rsidR="004407CB" w:rsidRPr="004407CB" w:rsidRDefault="004407CB" w:rsidP="004407CB">
      <w:pPr>
        <w:pStyle w:val="Prrafodelista"/>
        <w:rPr>
          <w:rFonts w:ascii="Arial" w:hAnsi="Arial" w:cs="Arial"/>
          <w:bCs/>
        </w:rPr>
      </w:pPr>
    </w:p>
    <w:p w:rsidR="004407CB" w:rsidRPr="004407CB" w:rsidRDefault="004407CB" w:rsidP="004407CB">
      <w:pPr>
        <w:pStyle w:val="Prrafodelista"/>
        <w:numPr>
          <w:ilvl w:val="2"/>
          <w:numId w:val="48"/>
        </w:numPr>
        <w:spacing w:line="280" w:lineRule="atLeast"/>
        <w:jc w:val="both"/>
        <w:rPr>
          <w:rFonts w:ascii="Arial" w:hAnsi="Arial" w:cs="Arial"/>
          <w:bCs/>
        </w:rPr>
      </w:pPr>
      <w:r w:rsidRPr="004407CB">
        <w:rPr>
          <w:rFonts w:ascii="Arial" w:hAnsi="Arial" w:cs="Arial"/>
          <w:bCs/>
        </w:rPr>
        <w:t xml:space="preserve">Desarrollo del Ingreso Mínimo Vital con un gasto de </w:t>
      </w:r>
      <w:r w:rsidRPr="004407CB">
        <w:rPr>
          <w:rFonts w:ascii="Arial" w:hAnsi="Arial" w:cs="Arial"/>
          <w:b/>
          <w:bCs/>
          <w:noProof/>
        </w:rPr>
        <w:t>7,2</w:t>
      </w:r>
      <w:r w:rsidRPr="004407CB">
        <w:rPr>
          <w:rFonts w:ascii="Arial" w:hAnsi="Arial" w:cs="Arial"/>
          <w:b/>
          <w:bCs/>
        </w:rPr>
        <w:t xml:space="preserve"> millones de €</w:t>
      </w:r>
      <w:r w:rsidRPr="004407CB">
        <w:rPr>
          <w:rFonts w:ascii="Arial" w:hAnsi="Arial" w:cs="Arial"/>
          <w:bCs/>
        </w:rPr>
        <w:t xml:space="preserve"> y </w:t>
      </w:r>
      <w:r w:rsidRPr="004407CB">
        <w:rPr>
          <w:rFonts w:ascii="Arial" w:hAnsi="Arial" w:cs="Arial"/>
          <w:b/>
          <w:bCs/>
          <w:noProof/>
        </w:rPr>
        <w:t>55.551</w:t>
      </w:r>
      <w:r w:rsidRPr="004407CB">
        <w:rPr>
          <w:rFonts w:ascii="Arial" w:hAnsi="Arial" w:cs="Arial"/>
          <w:b/>
          <w:bCs/>
        </w:rPr>
        <w:t xml:space="preserve"> beneficiarios.</w:t>
      </w:r>
    </w:p>
    <w:p w:rsidR="004407CB" w:rsidRPr="004407CB" w:rsidRDefault="004407CB" w:rsidP="004407CB">
      <w:pPr>
        <w:pStyle w:val="Prrafodelista"/>
        <w:rPr>
          <w:rFonts w:ascii="Arial" w:hAnsi="Arial" w:cs="Arial"/>
          <w:bCs/>
        </w:rPr>
      </w:pPr>
    </w:p>
    <w:p w:rsidR="004407CB" w:rsidRPr="004407CB" w:rsidRDefault="004407CB" w:rsidP="004407CB">
      <w:pPr>
        <w:pStyle w:val="Prrafodelista"/>
        <w:numPr>
          <w:ilvl w:val="2"/>
          <w:numId w:val="48"/>
        </w:numPr>
        <w:spacing w:line="280" w:lineRule="atLeast"/>
        <w:jc w:val="both"/>
        <w:rPr>
          <w:rFonts w:ascii="Arial" w:hAnsi="Arial" w:cs="Arial"/>
          <w:bCs/>
        </w:rPr>
      </w:pPr>
      <w:r w:rsidRPr="004407CB">
        <w:rPr>
          <w:rFonts w:ascii="Arial" w:hAnsi="Arial" w:cs="Arial"/>
          <w:bCs/>
        </w:rPr>
        <w:t xml:space="preserve">Ayudas de comedor para combatir la pobreza infantil con una inversión de </w:t>
      </w:r>
      <w:r w:rsidRPr="004407CB">
        <w:rPr>
          <w:rFonts w:ascii="Arial" w:hAnsi="Arial" w:cs="Arial"/>
          <w:b/>
          <w:bCs/>
          <w:noProof/>
        </w:rPr>
        <w:t>1,1</w:t>
      </w:r>
      <w:r w:rsidRPr="004407CB">
        <w:rPr>
          <w:rFonts w:ascii="Arial" w:hAnsi="Arial" w:cs="Arial"/>
          <w:b/>
          <w:bCs/>
        </w:rPr>
        <w:t xml:space="preserve"> millones de €</w:t>
      </w:r>
      <w:r w:rsidRPr="004407CB">
        <w:rPr>
          <w:rFonts w:ascii="Arial" w:hAnsi="Arial" w:cs="Arial"/>
          <w:bCs/>
        </w:rPr>
        <w:t xml:space="preserve"> y </w:t>
      </w:r>
      <w:r w:rsidRPr="004407CB">
        <w:rPr>
          <w:rFonts w:ascii="Arial" w:hAnsi="Arial" w:cs="Arial"/>
          <w:b/>
          <w:bCs/>
          <w:noProof/>
        </w:rPr>
        <w:t>1.341</w:t>
      </w:r>
      <w:r w:rsidRPr="004407CB">
        <w:rPr>
          <w:rFonts w:ascii="Arial" w:hAnsi="Arial" w:cs="Arial"/>
          <w:b/>
          <w:bCs/>
        </w:rPr>
        <w:t xml:space="preserve"> beneficiarios.</w:t>
      </w:r>
    </w:p>
    <w:p w:rsidR="004407CB" w:rsidRPr="004407CB" w:rsidRDefault="004407CB" w:rsidP="004407CB">
      <w:pPr>
        <w:pStyle w:val="Prrafodelista"/>
        <w:rPr>
          <w:rFonts w:ascii="Arial" w:hAnsi="Arial" w:cs="Arial"/>
          <w:bCs/>
        </w:rPr>
      </w:pPr>
    </w:p>
    <w:p w:rsidR="004407CB" w:rsidRDefault="004407CB" w:rsidP="004407CB">
      <w:pPr>
        <w:pStyle w:val="Prrafodelista"/>
        <w:numPr>
          <w:ilvl w:val="2"/>
          <w:numId w:val="48"/>
        </w:numPr>
        <w:spacing w:line="280" w:lineRule="atLeast"/>
        <w:jc w:val="both"/>
        <w:rPr>
          <w:rFonts w:ascii="Arial" w:hAnsi="Arial" w:cs="Arial"/>
          <w:bCs/>
        </w:rPr>
      </w:pPr>
      <w:r w:rsidRPr="004407CB">
        <w:rPr>
          <w:rFonts w:ascii="Arial" w:hAnsi="Arial" w:cs="Arial"/>
          <w:bCs/>
        </w:rPr>
        <w:t xml:space="preserve">Aumento de los fondos de programas dirigidos a erradicar la violencia de género para los ayuntamientos con </w:t>
      </w:r>
      <w:r w:rsidRPr="004407CB">
        <w:rPr>
          <w:rFonts w:ascii="Arial" w:hAnsi="Arial" w:cs="Arial"/>
          <w:b/>
          <w:bCs/>
          <w:noProof/>
        </w:rPr>
        <w:t>0,3</w:t>
      </w:r>
      <w:r w:rsidRPr="004407CB">
        <w:rPr>
          <w:rFonts w:ascii="Arial" w:hAnsi="Arial" w:cs="Arial"/>
          <w:b/>
          <w:bCs/>
        </w:rPr>
        <w:t xml:space="preserve"> millones de € de inversión</w:t>
      </w:r>
      <w:r w:rsidRPr="004407CB">
        <w:rPr>
          <w:rFonts w:ascii="Arial" w:hAnsi="Arial" w:cs="Arial"/>
          <w:bCs/>
        </w:rPr>
        <w:t xml:space="preserve"> y </w:t>
      </w:r>
      <w:r w:rsidRPr="004407CB">
        <w:rPr>
          <w:rFonts w:ascii="Arial" w:hAnsi="Arial" w:cs="Arial"/>
          <w:b/>
          <w:bCs/>
          <w:noProof/>
        </w:rPr>
        <w:t>7.839</w:t>
      </w:r>
      <w:r w:rsidRPr="004407CB">
        <w:rPr>
          <w:rFonts w:ascii="Arial" w:hAnsi="Arial" w:cs="Arial"/>
          <w:b/>
          <w:bCs/>
        </w:rPr>
        <w:t xml:space="preserve"> beneficiarios</w:t>
      </w:r>
      <w:r w:rsidRPr="004407CB">
        <w:rPr>
          <w:rFonts w:ascii="Arial" w:hAnsi="Arial" w:cs="Arial"/>
          <w:bCs/>
        </w:rPr>
        <w:t>.</w:t>
      </w:r>
    </w:p>
    <w:p w:rsidR="004407CB" w:rsidRPr="004407CB" w:rsidRDefault="004407CB" w:rsidP="004407CB">
      <w:pPr>
        <w:pStyle w:val="Prrafodelista"/>
        <w:rPr>
          <w:rFonts w:ascii="Arial" w:hAnsi="Arial" w:cs="Arial"/>
          <w:bCs/>
        </w:rPr>
      </w:pPr>
    </w:p>
    <w:p w:rsidR="004407CB" w:rsidRPr="004407CB" w:rsidRDefault="004407CB" w:rsidP="004407CB">
      <w:pPr>
        <w:pStyle w:val="Prrafodelista"/>
        <w:numPr>
          <w:ilvl w:val="2"/>
          <w:numId w:val="48"/>
        </w:numPr>
        <w:spacing w:line="280" w:lineRule="atLeast"/>
        <w:jc w:val="both"/>
        <w:rPr>
          <w:rFonts w:ascii="Arial" w:hAnsi="Arial" w:cs="Arial"/>
          <w:bCs/>
        </w:rPr>
      </w:pPr>
      <w:r w:rsidRPr="004407CB">
        <w:rPr>
          <w:rFonts w:ascii="Arial" w:hAnsi="Arial" w:cs="Arial"/>
          <w:bCs/>
        </w:rPr>
        <w:lastRenderedPageBreak/>
        <w:t xml:space="preserve">Incremento del 125% de la base mínima de la cotización en subsidio desempleo que afecta a </w:t>
      </w:r>
      <w:r w:rsidRPr="004407CB">
        <w:rPr>
          <w:rFonts w:ascii="Arial" w:hAnsi="Arial" w:cs="Arial"/>
          <w:b/>
          <w:bCs/>
          <w:noProof/>
        </w:rPr>
        <w:t>6.575</w:t>
      </w:r>
      <w:r w:rsidRPr="004407CB">
        <w:rPr>
          <w:rFonts w:ascii="Arial" w:hAnsi="Arial" w:cs="Arial"/>
          <w:b/>
          <w:bCs/>
        </w:rPr>
        <w:t xml:space="preserve"> beneficiarios.</w:t>
      </w:r>
    </w:p>
    <w:p w:rsidR="004407CB" w:rsidRPr="004407CB" w:rsidRDefault="004407CB" w:rsidP="004407CB">
      <w:pPr>
        <w:pStyle w:val="Prrafodelista"/>
        <w:rPr>
          <w:rFonts w:ascii="Arial" w:hAnsi="Arial" w:cs="Arial"/>
          <w:bCs/>
        </w:rPr>
      </w:pPr>
    </w:p>
    <w:p w:rsidR="004407CB" w:rsidRPr="004407CB" w:rsidRDefault="004407CB" w:rsidP="004407CB">
      <w:pPr>
        <w:pStyle w:val="Prrafodelista"/>
        <w:numPr>
          <w:ilvl w:val="2"/>
          <w:numId w:val="48"/>
        </w:numPr>
        <w:spacing w:line="280" w:lineRule="atLeast"/>
        <w:jc w:val="both"/>
        <w:rPr>
          <w:rFonts w:ascii="Arial" w:hAnsi="Arial" w:cs="Arial"/>
          <w:bCs/>
        </w:rPr>
      </w:pPr>
      <w:r w:rsidRPr="004407CB">
        <w:rPr>
          <w:rFonts w:ascii="Arial" w:hAnsi="Arial" w:cs="Arial"/>
          <w:bCs/>
        </w:rPr>
        <w:t xml:space="preserve">Permiso de paternidad de 5 a 8 semanas con una inversión de </w:t>
      </w:r>
      <w:r w:rsidRPr="004407CB">
        <w:rPr>
          <w:rFonts w:ascii="Arial" w:hAnsi="Arial" w:cs="Arial"/>
          <w:b/>
          <w:bCs/>
          <w:noProof/>
        </w:rPr>
        <w:t>11,6</w:t>
      </w:r>
      <w:r w:rsidRPr="004407CB">
        <w:rPr>
          <w:rFonts w:ascii="Arial" w:hAnsi="Arial" w:cs="Arial"/>
          <w:b/>
          <w:bCs/>
        </w:rPr>
        <w:t xml:space="preserve"> millones de € </w:t>
      </w:r>
      <w:r w:rsidRPr="004407CB">
        <w:rPr>
          <w:rFonts w:ascii="Arial" w:hAnsi="Arial" w:cs="Arial"/>
          <w:bCs/>
        </w:rPr>
        <w:t xml:space="preserve">y con un impacto que afecta a </w:t>
      </w:r>
      <w:r w:rsidRPr="004407CB">
        <w:rPr>
          <w:rFonts w:ascii="Arial" w:hAnsi="Arial" w:cs="Arial"/>
          <w:b/>
          <w:bCs/>
          <w:noProof/>
        </w:rPr>
        <w:t>7.336</w:t>
      </w:r>
      <w:r w:rsidRPr="004407CB">
        <w:rPr>
          <w:rFonts w:ascii="Arial" w:hAnsi="Arial" w:cs="Arial"/>
          <w:b/>
          <w:bCs/>
        </w:rPr>
        <w:t xml:space="preserve"> beneficiarios</w:t>
      </w:r>
    </w:p>
    <w:p w:rsidR="004407CB" w:rsidRDefault="004407CB" w:rsidP="004407CB">
      <w:pPr>
        <w:spacing w:line="276" w:lineRule="auto"/>
        <w:jc w:val="both"/>
        <w:rPr>
          <w:bCs/>
          <w:szCs w:val="24"/>
        </w:rPr>
      </w:pPr>
    </w:p>
    <w:p w:rsidR="004407CB" w:rsidRDefault="004407CB" w:rsidP="004407CB">
      <w:pPr>
        <w:spacing w:line="276" w:lineRule="auto"/>
        <w:jc w:val="both"/>
        <w:rPr>
          <w:bCs/>
          <w:szCs w:val="24"/>
        </w:rPr>
      </w:pPr>
    </w:p>
    <w:p w:rsidR="004407CB" w:rsidRDefault="004407CB" w:rsidP="004407CB">
      <w:pPr>
        <w:spacing w:before="120" w:after="120"/>
        <w:ind w:left="3060" w:firstLine="708"/>
        <w:jc w:val="both"/>
        <w:rPr>
          <w:b/>
          <w:bCs/>
          <w:szCs w:val="24"/>
          <w:u w:val="single"/>
        </w:rPr>
      </w:pPr>
      <w:r w:rsidRPr="00DB2E88">
        <w:rPr>
          <w:b/>
          <w:bCs/>
          <w:szCs w:val="24"/>
          <w:u w:val="single"/>
        </w:rPr>
        <w:t>INVERSIONES DESTACABLES</w:t>
      </w:r>
      <w:r>
        <w:rPr>
          <w:b/>
          <w:bCs/>
          <w:szCs w:val="24"/>
          <w:u w:val="single"/>
        </w:rPr>
        <w:t>:</w:t>
      </w:r>
    </w:p>
    <w:p w:rsidR="004407CB" w:rsidRDefault="004407CB" w:rsidP="004407CB">
      <w:pPr>
        <w:pStyle w:val="Prrafodelista"/>
        <w:ind w:left="3344"/>
        <w:rPr>
          <w:rFonts w:cs="Arial"/>
          <w:b/>
        </w:rPr>
      </w:pPr>
    </w:p>
    <w:tbl>
      <w:tblPr>
        <w:tblStyle w:val="Tablaconcuadrcula"/>
        <w:tblW w:w="9988" w:type="dxa"/>
        <w:tblInd w:w="623" w:type="dxa"/>
        <w:tblLook w:val="04A0" w:firstRow="1" w:lastRow="0" w:firstColumn="1" w:lastColumn="0" w:noHBand="0" w:noVBand="1"/>
      </w:tblPr>
      <w:tblGrid>
        <w:gridCol w:w="2014"/>
        <w:gridCol w:w="6612"/>
        <w:gridCol w:w="1362"/>
      </w:tblGrid>
      <w:tr w:rsidR="004407CB" w:rsidRPr="00506B72" w:rsidTr="004407CB">
        <w:trPr>
          <w:trHeight w:val="381"/>
        </w:trPr>
        <w:tc>
          <w:tcPr>
            <w:tcW w:w="2014" w:type="dxa"/>
          </w:tcPr>
          <w:p w:rsidR="004407CB" w:rsidRPr="003B3718" w:rsidRDefault="004407CB" w:rsidP="00726148">
            <w:pPr>
              <w:spacing w:before="120" w:after="120"/>
              <w:jc w:val="center"/>
              <w:rPr>
                <w:b/>
                <w:bCs/>
                <w:szCs w:val="24"/>
              </w:rPr>
            </w:pPr>
            <w:r w:rsidRPr="003B3718">
              <w:rPr>
                <w:b/>
                <w:bCs/>
                <w:szCs w:val="24"/>
              </w:rPr>
              <w:t>Mº /Entidad</w:t>
            </w:r>
          </w:p>
        </w:tc>
        <w:tc>
          <w:tcPr>
            <w:tcW w:w="6612" w:type="dxa"/>
          </w:tcPr>
          <w:p w:rsidR="004407CB" w:rsidRPr="003B3718" w:rsidRDefault="004407CB" w:rsidP="00726148">
            <w:pPr>
              <w:spacing w:before="120" w:after="120"/>
              <w:jc w:val="center"/>
              <w:rPr>
                <w:b/>
                <w:bCs/>
                <w:szCs w:val="24"/>
              </w:rPr>
            </w:pPr>
            <w:r>
              <w:rPr>
                <w:b/>
                <w:bCs/>
                <w:szCs w:val="24"/>
              </w:rPr>
              <w:t xml:space="preserve"> </w:t>
            </w:r>
          </w:p>
        </w:tc>
        <w:tc>
          <w:tcPr>
            <w:tcW w:w="1362" w:type="dxa"/>
          </w:tcPr>
          <w:p w:rsidR="004407CB" w:rsidRPr="003B3718" w:rsidRDefault="004407CB" w:rsidP="00726148">
            <w:pPr>
              <w:spacing w:before="120" w:after="120"/>
              <w:jc w:val="center"/>
              <w:rPr>
                <w:b/>
                <w:bCs/>
                <w:szCs w:val="24"/>
              </w:rPr>
            </w:pPr>
            <w:r w:rsidRPr="003B3718">
              <w:rPr>
                <w:b/>
                <w:bCs/>
                <w:szCs w:val="24"/>
              </w:rPr>
              <w:t>M€</w:t>
            </w:r>
            <w:r>
              <w:rPr>
                <w:b/>
                <w:bCs/>
                <w:szCs w:val="24"/>
              </w:rPr>
              <w:t xml:space="preserve"> </w:t>
            </w:r>
          </w:p>
        </w:tc>
      </w:tr>
      <w:tr w:rsidR="004407CB" w:rsidRPr="00506B72" w:rsidTr="004407CB">
        <w:trPr>
          <w:trHeight w:val="390"/>
        </w:trPr>
        <w:tc>
          <w:tcPr>
            <w:tcW w:w="2014" w:type="dxa"/>
          </w:tcPr>
          <w:p w:rsidR="004407CB" w:rsidRDefault="004407CB" w:rsidP="00726148">
            <w:pPr>
              <w:spacing w:before="120" w:after="120"/>
              <w:jc w:val="both"/>
              <w:rPr>
                <w:bCs/>
                <w:szCs w:val="24"/>
              </w:rPr>
            </w:pPr>
            <w:r>
              <w:rPr>
                <w:bCs/>
                <w:szCs w:val="24"/>
              </w:rPr>
              <w:t>Justicia</w:t>
            </w:r>
          </w:p>
        </w:tc>
        <w:tc>
          <w:tcPr>
            <w:tcW w:w="6612" w:type="dxa"/>
          </w:tcPr>
          <w:p w:rsidR="004407CB" w:rsidRPr="00506B72" w:rsidRDefault="004407CB" w:rsidP="00726148">
            <w:pPr>
              <w:spacing w:before="120" w:after="120"/>
              <w:jc w:val="both"/>
              <w:rPr>
                <w:bCs/>
                <w:szCs w:val="24"/>
              </w:rPr>
            </w:pPr>
            <w:r>
              <w:rPr>
                <w:bCs/>
                <w:szCs w:val="24"/>
              </w:rPr>
              <w:t>Lorca N.E,J</w:t>
            </w:r>
          </w:p>
        </w:tc>
        <w:tc>
          <w:tcPr>
            <w:tcW w:w="1362" w:type="dxa"/>
          </w:tcPr>
          <w:p w:rsidR="004407CB" w:rsidRPr="00506B72" w:rsidRDefault="004407CB" w:rsidP="00726148">
            <w:pPr>
              <w:spacing w:before="120" w:after="120"/>
              <w:jc w:val="right"/>
              <w:rPr>
                <w:bCs/>
                <w:szCs w:val="24"/>
              </w:rPr>
            </w:pPr>
            <w:r>
              <w:rPr>
                <w:bCs/>
                <w:szCs w:val="24"/>
              </w:rPr>
              <w:t>4,4</w:t>
            </w:r>
          </w:p>
        </w:tc>
      </w:tr>
      <w:tr w:rsidR="004407CB" w:rsidRPr="002312F2" w:rsidTr="004407CB">
        <w:trPr>
          <w:trHeight w:val="579"/>
        </w:trPr>
        <w:tc>
          <w:tcPr>
            <w:tcW w:w="2014" w:type="dxa"/>
          </w:tcPr>
          <w:p w:rsidR="004407CB" w:rsidRDefault="004407CB" w:rsidP="00726148">
            <w:pPr>
              <w:spacing w:before="120" w:after="120"/>
              <w:jc w:val="both"/>
              <w:rPr>
                <w:bCs/>
                <w:szCs w:val="24"/>
              </w:rPr>
            </w:pPr>
            <w:r>
              <w:rPr>
                <w:bCs/>
                <w:szCs w:val="24"/>
              </w:rPr>
              <w:t>AEAT</w:t>
            </w:r>
          </w:p>
        </w:tc>
        <w:tc>
          <w:tcPr>
            <w:tcW w:w="6612" w:type="dxa"/>
          </w:tcPr>
          <w:p w:rsidR="004407CB" w:rsidRPr="002312F2" w:rsidRDefault="004407CB" w:rsidP="00726148">
            <w:pPr>
              <w:spacing w:before="120" w:after="120"/>
              <w:jc w:val="both"/>
              <w:rPr>
                <w:bCs/>
                <w:szCs w:val="24"/>
              </w:rPr>
            </w:pPr>
            <w:r>
              <w:rPr>
                <w:bCs/>
                <w:szCs w:val="24"/>
              </w:rPr>
              <w:t>Edificios y otras construcciones</w:t>
            </w:r>
          </w:p>
        </w:tc>
        <w:tc>
          <w:tcPr>
            <w:tcW w:w="1362" w:type="dxa"/>
          </w:tcPr>
          <w:p w:rsidR="004407CB" w:rsidRPr="002312F2" w:rsidRDefault="004407CB" w:rsidP="00726148">
            <w:pPr>
              <w:spacing w:before="120" w:after="120"/>
              <w:jc w:val="right"/>
              <w:rPr>
                <w:bCs/>
                <w:szCs w:val="24"/>
              </w:rPr>
            </w:pPr>
            <w:r>
              <w:rPr>
                <w:bCs/>
                <w:szCs w:val="24"/>
              </w:rPr>
              <w:t>5,4</w:t>
            </w:r>
          </w:p>
        </w:tc>
      </w:tr>
      <w:tr w:rsidR="004407CB" w:rsidRPr="002312F2" w:rsidTr="004407CB">
        <w:trPr>
          <w:trHeight w:val="78"/>
        </w:trPr>
        <w:tc>
          <w:tcPr>
            <w:tcW w:w="2014" w:type="dxa"/>
          </w:tcPr>
          <w:p w:rsidR="004407CB" w:rsidRDefault="004407CB" w:rsidP="00726148">
            <w:pPr>
              <w:spacing w:before="120" w:after="120"/>
              <w:jc w:val="both"/>
              <w:rPr>
                <w:bCs/>
                <w:szCs w:val="24"/>
              </w:rPr>
            </w:pPr>
            <w:r>
              <w:rPr>
                <w:bCs/>
                <w:szCs w:val="24"/>
              </w:rPr>
              <w:t>Fomento</w:t>
            </w:r>
          </w:p>
        </w:tc>
        <w:tc>
          <w:tcPr>
            <w:tcW w:w="6612" w:type="dxa"/>
          </w:tcPr>
          <w:p w:rsidR="004407CB" w:rsidRDefault="004407CB" w:rsidP="00726148">
            <w:pPr>
              <w:spacing w:before="120" w:after="120"/>
              <w:jc w:val="both"/>
              <w:rPr>
                <w:bCs/>
                <w:szCs w:val="24"/>
              </w:rPr>
            </w:pPr>
            <w:r>
              <w:rPr>
                <w:bCs/>
                <w:szCs w:val="24"/>
              </w:rPr>
              <w:t>MU-30 Tramo: Autovía del Reguerón (13,5Km)</w:t>
            </w:r>
          </w:p>
        </w:tc>
        <w:tc>
          <w:tcPr>
            <w:tcW w:w="1362" w:type="dxa"/>
          </w:tcPr>
          <w:p w:rsidR="004407CB" w:rsidRDefault="004407CB" w:rsidP="00726148">
            <w:pPr>
              <w:spacing w:before="120" w:after="120"/>
              <w:jc w:val="right"/>
              <w:rPr>
                <w:bCs/>
                <w:szCs w:val="24"/>
              </w:rPr>
            </w:pPr>
            <w:r>
              <w:rPr>
                <w:bCs/>
                <w:szCs w:val="24"/>
              </w:rPr>
              <w:t>24,3</w:t>
            </w:r>
          </w:p>
        </w:tc>
      </w:tr>
      <w:tr w:rsidR="004407CB" w:rsidRPr="002312F2" w:rsidTr="004407CB">
        <w:trPr>
          <w:trHeight w:val="114"/>
        </w:trPr>
        <w:tc>
          <w:tcPr>
            <w:tcW w:w="2014" w:type="dxa"/>
          </w:tcPr>
          <w:p w:rsidR="004407CB" w:rsidRDefault="004407CB" w:rsidP="00726148">
            <w:pPr>
              <w:spacing w:before="120" w:after="120"/>
              <w:jc w:val="both"/>
              <w:rPr>
                <w:bCs/>
                <w:szCs w:val="24"/>
              </w:rPr>
            </w:pPr>
            <w:r w:rsidRPr="005C25DC">
              <w:rPr>
                <w:bCs/>
                <w:szCs w:val="24"/>
              </w:rPr>
              <w:t>Fomento</w:t>
            </w:r>
          </w:p>
        </w:tc>
        <w:tc>
          <w:tcPr>
            <w:tcW w:w="6612" w:type="dxa"/>
          </w:tcPr>
          <w:p w:rsidR="004407CB" w:rsidRDefault="004407CB" w:rsidP="00726148">
            <w:pPr>
              <w:spacing w:before="120" w:after="120"/>
              <w:jc w:val="both"/>
              <w:rPr>
                <w:bCs/>
                <w:szCs w:val="24"/>
              </w:rPr>
            </w:pPr>
            <w:r>
              <w:rPr>
                <w:bCs/>
                <w:szCs w:val="24"/>
              </w:rPr>
              <w:t>A-33 Varios Tramos</w:t>
            </w:r>
          </w:p>
        </w:tc>
        <w:tc>
          <w:tcPr>
            <w:tcW w:w="1362" w:type="dxa"/>
          </w:tcPr>
          <w:p w:rsidR="004407CB" w:rsidRDefault="004407CB" w:rsidP="00726148">
            <w:pPr>
              <w:spacing w:before="120" w:after="120"/>
              <w:jc w:val="right"/>
              <w:rPr>
                <w:bCs/>
                <w:szCs w:val="24"/>
              </w:rPr>
            </w:pPr>
            <w:r>
              <w:rPr>
                <w:bCs/>
                <w:szCs w:val="24"/>
              </w:rPr>
              <w:t>1,8</w:t>
            </w:r>
          </w:p>
        </w:tc>
      </w:tr>
      <w:tr w:rsidR="004407CB" w:rsidRPr="002312F2" w:rsidTr="004407CB">
        <w:trPr>
          <w:trHeight w:val="579"/>
        </w:trPr>
        <w:tc>
          <w:tcPr>
            <w:tcW w:w="2014" w:type="dxa"/>
          </w:tcPr>
          <w:p w:rsidR="004407CB" w:rsidRDefault="004407CB" w:rsidP="00726148">
            <w:r w:rsidRPr="005C25DC">
              <w:rPr>
                <w:bCs/>
                <w:szCs w:val="24"/>
              </w:rPr>
              <w:t>Fomento</w:t>
            </w:r>
          </w:p>
        </w:tc>
        <w:tc>
          <w:tcPr>
            <w:tcW w:w="6612" w:type="dxa"/>
          </w:tcPr>
          <w:p w:rsidR="004407CB" w:rsidRDefault="004407CB" w:rsidP="00726148">
            <w:pPr>
              <w:spacing w:before="120" w:after="120"/>
              <w:jc w:val="both"/>
              <w:rPr>
                <w:bCs/>
                <w:szCs w:val="24"/>
              </w:rPr>
            </w:pPr>
            <w:r>
              <w:rPr>
                <w:bCs/>
                <w:szCs w:val="24"/>
              </w:rPr>
              <w:t>Arco Noroeste</w:t>
            </w:r>
          </w:p>
        </w:tc>
        <w:tc>
          <w:tcPr>
            <w:tcW w:w="1362" w:type="dxa"/>
          </w:tcPr>
          <w:p w:rsidR="004407CB" w:rsidRDefault="004407CB" w:rsidP="00726148">
            <w:pPr>
              <w:spacing w:before="120" w:after="120"/>
              <w:jc w:val="right"/>
              <w:rPr>
                <w:bCs/>
                <w:szCs w:val="24"/>
              </w:rPr>
            </w:pPr>
            <w:r>
              <w:rPr>
                <w:bCs/>
                <w:szCs w:val="24"/>
              </w:rPr>
              <w:t>6,0</w:t>
            </w:r>
          </w:p>
        </w:tc>
      </w:tr>
      <w:tr w:rsidR="004407CB" w:rsidRPr="002312F2" w:rsidTr="004407CB">
        <w:trPr>
          <w:trHeight w:val="579"/>
        </w:trPr>
        <w:tc>
          <w:tcPr>
            <w:tcW w:w="2014" w:type="dxa"/>
          </w:tcPr>
          <w:p w:rsidR="004407CB" w:rsidRDefault="004407CB" w:rsidP="00726148">
            <w:r w:rsidRPr="00930FA7">
              <w:rPr>
                <w:bCs/>
                <w:szCs w:val="24"/>
              </w:rPr>
              <w:t>Fomento</w:t>
            </w:r>
          </w:p>
        </w:tc>
        <w:tc>
          <w:tcPr>
            <w:tcW w:w="6612" w:type="dxa"/>
          </w:tcPr>
          <w:p w:rsidR="004407CB" w:rsidRDefault="004407CB" w:rsidP="00726148">
            <w:pPr>
              <w:spacing w:before="120" w:after="120"/>
              <w:jc w:val="both"/>
              <w:rPr>
                <w:bCs/>
                <w:szCs w:val="24"/>
              </w:rPr>
            </w:pPr>
            <w:r>
              <w:rPr>
                <w:bCs/>
                <w:szCs w:val="24"/>
              </w:rPr>
              <w:t>Actuaciones de conservación y explotación (conservación ordinaria y vialidad, rehabilitación y mejoras funcionales locales)</w:t>
            </w:r>
          </w:p>
        </w:tc>
        <w:tc>
          <w:tcPr>
            <w:tcW w:w="1362" w:type="dxa"/>
          </w:tcPr>
          <w:p w:rsidR="004407CB" w:rsidRDefault="004407CB" w:rsidP="00726148">
            <w:pPr>
              <w:spacing w:before="120" w:after="120"/>
              <w:jc w:val="right"/>
              <w:rPr>
                <w:bCs/>
                <w:szCs w:val="24"/>
              </w:rPr>
            </w:pPr>
            <w:r>
              <w:rPr>
                <w:bCs/>
                <w:szCs w:val="24"/>
              </w:rPr>
              <w:t>6,0</w:t>
            </w:r>
          </w:p>
        </w:tc>
      </w:tr>
      <w:tr w:rsidR="004407CB" w:rsidRPr="002312F2" w:rsidTr="004407CB">
        <w:trPr>
          <w:trHeight w:val="579"/>
        </w:trPr>
        <w:tc>
          <w:tcPr>
            <w:tcW w:w="2014" w:type="dxa"/>
          </w:tcPr>
          <w:p w:rsidR="004407CB" w:rsidRDefault="004407CB" w:rsidP="00726148">
            <w:r w:rsidRPr="00930FA7">
              <w:rPr>
                <w:bCs/>
                <w:szCs w:val="24"/>
              </w:rPr>
              <w:t>Fomento</w:t>
            </w:r>
          </w:p>
        </w:tc>
        <w:tc>
          <w:tcPr>
            <w:tcW w:w="6612" w:type="dxa"/>
          </w:tcPr>
          <w:p w:rsidR="004407CB" w:rsidRDefault="004407CB" w:rsidP="00726148">
            <w:pPr>
              <w:spacing w:before="120" w:after="120"/>
              <w:jc w:val="both"/>
              <w:rPr>
                <w:bCs/>
                <w:szCs w:val="24"/>
              </w:rPr>
            </w:pPr>
            <w:r>
              <w:rPr>
                <w:bCs/>
                <w:szCs w:val="24"/>
              </w:rPr>
              <w:t>Actuaciones de Seguridad Vial</w:t>
            </w:r>
          </w:p>
        </w:tc>
        <w:tc>
          <w:tcPr>
            <w:tcW w:w="1362" w:type="dxa"/>
          </w:tcPr>
          <w:p w:rsidR="004407CB" w:rsidRDefault="004407CB" w:rsidP="00726148">
            <w:pPr>
              <w:spacing w:before="120" w:after="120"/>
              <w:jc w:val="right"/>
              <w:rPr>
                <w:bCs/>
                <w:szCs w:val="24"/>
              </w:rPr>
            </w:pPr>
            <w:r>
              <w:rPr>
                <w:bCs/>
                <w:szCs w:val="24"/>
              </w:rPr>
              <w:t>0,9</w:t>
            </w:r>
          </w:p>
        </w:tc>
      </w:tr>
      <w:tr w:rsidR="004407CB" w:rsidRPr="002312F2" w:rsidTr="004407CB">
        <w:trPr>
          <w:trHeight w:val="47"/>
        </w:trPr>
        <w:tc>
          <w:tcPr>
            <w:tcW w:w="2014" w:type="dxa"/>
          </w:tcPr>
          <w:p w:rsidR="004407CB" w:rsidRDefault="004407CB" w:rsidP="00726148">
            <w:pPr>
              <w:spacing w:before="120" w:after="120"/>
              <w:jc w:val="both"/>
              <w:rPr>
                <w:bCs/>
                <w:szCs w:val="24"/>
              </w:rPr>
            </w:pPr>
            <w:r w:rsidRPr="00930FA7">
              <w:rPr>
                <w:bCs/>
                <w:szCs w:val="24"/>
              </w:rPr>
              <w:t>Fomento</w:t>
            </w:r>
          </w:p>
        </w:tc>
        <w:tc>
          <w:tcPr>
            <w:tcW w:w="6612" w:type="dxa"/>
          </w:tcPr>
          <w:p w:rsidR="004407CB" w:rsidRDefault="004407CB" w:rsidP="00726148">
            <w:pPr>
              <w:spacing w:before="120" w:after="120"/>
              <w:jc w:val="both"/>
              <w:rPr>
                <w:bCs/>
                <w:szCs w:val="24"/>
              </w:rPr>
            </w:pPr>
            <w:r>
              <w:rPr>
                <w:bCs/>
                <w:szCs w:val="24"/>
              </w:rPr>
              <w:t xml:space="preserve">Rehabilitación estructura del firme en A-7S y A-30 en varios </w:t>
            </w:r>
            <w:proofErr w:type="spellStart"/>
            <w:r>
              <w:rPr>
                <w:bCs/>
                <w:szCs w:val="24"/>
              </w:rPr>
              <w:t>subtramos</w:t>
            </w:r>
            <w:proofErr w:type="spellEnd"/>
          </w:p>
        </w:tc>
        <w:tc>
          <w:tcPr>
            <w:tcW w:w="1362" w:type="dxa"/>
          </w:tcPr>
          <w:p w:rsidR="004407CB" w:rsidRDefault="004407CB" w:rsidP="00726148">
            <w:pPr>
              <w:spacing w:before="120" w:after="120"/>
              <w:jc w:val="right"/>
              <w:rPr>
                <w:bCs/>
                <w:szCs w:val="24"/>
              </w:rPr>
            </w:pPr>
            <w:r>
              <w:rPr>
                <w:bCs/>
                <w:szCs w:val="24"/>
              </w:rPr>
              <w:t>2,4</w:t>
            </w:r>
          </w:p>
        </w:tc>
      </w:tr>
      <w:tr w:rsidR="004407CB" w:rsidRPr="002312F2" w:rsidTr="004407CB">
        <w:trPr>
          <w:trHeight w:val="579"/>
        </w:trPr>
        <w:tc>
          <w:tcPr>
            <w:tcW w:w="2014" w:type="dxa"/>
          </w:tcPr>
          <w:p w:rsidR="004407CB" w:rsidRDefault="004407CB" w:rsidP="00726148">
            <w:pPr>
              <w:spacing w:before="120" w:after="120"/>
              <w:jc w:val="both"/>
              <w:rPr>
                <w:bCs/>
                <w:szCs w:val="24"/>
              </w:rPr>
            </w:pPr>
            <w:r w:rsidRPr="00930FA7">
              <w:rPr>
                <w:bCs/>
                <w:szCs w:val="24"/>
              </w:rPr>
              <w:t>Fomento</w:t>
            </w:r>
          </w:p>
        </w:tc>
        <w:tc>
          <w:tcPr>
            <w:tcW w:w="6612" w:type="dxa"/>
          </w:tcPr>
          <w:p w:rsidR="004407CB" w:rsidRDefault="004407CB" w:rsidP="00726148">
            <w:pPr>
              <w:spacing w:before="120" w:after="120"/>
              <w:jc w:val="both"/>
              <w:rPr>
                <w:bCs/>
                <w:szCs w:val="24"/>
              </w:rPr>
            </w:pPr>
            <w:r>
              <w:rPr>
                <w:bCs/>
                <w:szCs w:val="24"/>
              </w:rPr>
              <w:t>Proyecto de adecuación de los Túneles al RD 635/2006</w:t>
            </w:r>
          </w:p>
        </w:tc>
        <w:tc>
          <w:tcPr>
            <w:tcW w:w="1362" w:type="dxa"/>
          </w:tcPr>
          <w:p w:rsidR="004407CB" w:rsidRDefault="004407CB" w:rsidP="00726148">
            <w:pPr>
              <w:spacing w:before="120" w:after="120"/>
              <w:jc w:val="right"/>
              <w:rPr>
                <w:bCs/>
                <w:szCs w:val="24"/>
              </w:rPr>
            </w:pPr>
            <w:r>
              <w:rPr>
                <w:bCs/>
                <w:szCs w:val="24"/>
              </w:rPr>
              <w:t>1,1</w:t>
            </w:r>
          </w:p>
        </w:tc>
      </w:tr>
      <w:tr w:rsidR="004407CB" w:rsidRPr="002312F2" w:rsidTr="004407CB">
        <w:trPr>
          <w:trHeight w:val="579"/>
        </w:trPr>
        <w:tc>
          <w:tcPr>
            <w:tcW w:w="2014" w:type="dxa"/>
          </w:tcPr>
          <w:p w:rsidR="004407CB" w:rsidRDefault="004407CB" w:rsidP="00726148">
            <w:pPr>
              <w:spacing w:before="120" w:after="120"/>
              <w:jc w:val="both"/>
              <w:rPr>
                <w:bCs/>
                <w:szCs w:val="24"/>
              </w:rPr>
            </w:pPr>
            <w:r>
              <w:rPr>
                <w:bCs/>
                <w:szCs w:val="24"/>
              </w:rPr>
              <w:t>Transición Ecológica</w:t>
            </w:r>
          </w:p>
        </w:tc>
        <w:tc>
          <w:tcPr>
            <w:tcW w:w="6612" w:type="dxa"/>
          </w:tcPr>
          <w:p w:rsidR="004407CB" w:rsidRDefault="004407CB" w:rsidP="00726148">
            <w:pPr>
              <w:spacing w:before="120" w:after="120"/>
              <w:jc w:val="both"/>
              <w:rPr>
                <w:bCs/>
                <w:szCs w:val="24"/>
              </w:rPr>
            </w:pPr>
            <w:r>
              <w:rPr>
                <w:bCs/>
                <w:szCs w:val="24"/>
              </w:rPr>
              <w:t>Actuaciones en la Cuenca del Segura</w:t>
            </w:r>
          </w:p>
        </w:tc>
        <w:tc>
          <w:tcPr>
            <w:tcW w:w="1362" w:type="dxa"/>
          </w:tcPr>
          <w:p w:rsidR="004407CB" w:rsidRDefault="004407CB" w:rsidP="00726148">
            <w:pPr>
              <w:spacing w:before="120" w:after="120"/>
              <w:jc w:val="right"/>
              <w:rPr>
                <w:bCs/>
                <w:szCs w:val="24"/>
              </w:rPr>
            </w:pPr>
            <w:r>
              <w:rPr>
                <w:bCs/>
                <w:szCs w:val="24"/>
              </w:rPr>
              <w:t>1,4</w:t>
            </w:r>
          </w:p>
        </w:tc>
      </w:tr>
      <w:tr w:rsidR="004407CB" w:rsidRPr="002312F2" w:rsidTr="004407CB">
        <w:trPr>
          <w:trHeight w:val="579"/>
        </w:trPr>
        <w:tc>
          <w:tcPr>
            <w:tcW w:w="2014" w:type="dxa"/>
          </w:tcPr>
          <w:p w:rsidR="004407CB" w:rsidRDefault="004407CB" w:rsidP="00726148">
            <w:pPr>
              <w:spacing w:before="120" w:after="120"/>
              <w:jc w:val="both"/>
              <w:rPr>
                <w:bCs/>
                <w:szCs w:val="24"/>
              </w:rPr>
            </w:pPr>
            <w:r w:rsidRPr="008C1953">
              <w:rPr>
                <w:bCs/>
                <w:szCs w:val="24"/>
              </w:rPr>
              <w:t>Transición Ecológica</w:t>
            </w:r>
          </w:p>
        </w:tc>
        <w:tc>
          <w:tcPr>
            <w:tcW w:w="6612" w:type="dxa"/>
          </w:tcPr>
          <w:p w:rsidR="004407CB" w:rsidRDefault="004407CB" w:rsidP="00726148">
            <w:pPr>
              <w:spacing w:before="120" w:after="120"/>
              <w:jc w:val="both"/>
              <w:rPr>
                <w:bCs/>
                <w:szCs w:val="24"/>
              </w:rPr>
            </w:pPr>
            <w:r>
              <w:rPr>
                <w:bCs/>
                <w:szCs w:val="24"/>
              </w:rPr>
              <w:t>Plan de Seguridad de Presas</w:t>
            </w:r>
          </w:p>
        </w:tc>
        <w:tc>
          <w:tcPr>
            <w:tcW w:w="1362" w:type="dxa"/>
          </w:tcPr>
          <w:p w:rsidR="004407CB" w:rsidRDefault="004407CB" w:rsidP="00726148">
            <w:pPr>
              <w:spacing w:before="120" w:after="120"/>
              <w:jc w:val="right"/>
              <w:rPr>
                <w:bCs/>
                <w:szCs w:val="24"/>
              </w:rPr>
            </w:pPr>
            <w:r>
              <w:rPr>
                <w:bCs/>
                <w:szCs w:val="24"/>
              </w:rPr>
              <w:t>1,5</w:t>
            </w:r>
          </w:p>
        </w:tc>
      </w:tr>
      <w:tr w:rsidR="004407CB" w:rsidRPr="002312F2" w:rsidTr="004407CB">
        <w:trPr>
          <w:trHeight w:val="579"/>
        </w:trPr>
        <w:tc>
          <w:tcPr>
            <w:tcW w:w="2014" w:type="dxa"/>
          </w:tcPr>
          <w:p w:rsidR="004407CB" w:rsidRDefault="004407CB" w:rsidP="00726148">
            <w:r w:rsidRPr="008C1953">
              <w:rPr>
                <w:bCs/>
                <w:szCs w:val="24"/>
              </w:rPr>
              <w:lastRenderedPageBreak/>
              <w:t>Transición Ecológica</w:t>
            </w:r>
          </w:p>
        </w:tc>
        <w:tc>
          <w:tcPr>
            <w:tcW w:w="6612" w:type="dxa"/>
          </w:tcPr>
          <w:p w:rsidR="004407CB" w:rsidRDefault="004407CB" w:rsidP="00726148">
            <w:pPr>
              <w:spacing w:before="120" w:after="120"/>
              <w:jc w:val="both"/>
              <w:rPr>
                <w:bCs/>
                <w:szCs w:val="24"/>
              </w:rPr>
            </w:pPr>
            <w:r>
              <w:rPr>
                <w:bCs/>
                <w:szCs w:val="24"/>
              </w:rPr>
              <w:t>Mejora del abastecimiento a Cieza Blanca y Albarán</w:t>
            </w:r>
          </w:p>
        </w:tc>
        <w:tc>
          <w:tcPr>
            <w:tcW w:w="1362" w:type="dxa"/>
          </w:tcPr>
          <w:p w:rsidR="004407CB" w:rsidRDefault="004407CB" w:rsidP="00726148">
            <w:pPr>
              <w:spacing w:before="120" w:after="120"/>
              <w:jc w:val="right"/>
              <w:rPr>
                <w:bCs/>
                <w:szCs w:val="24"/>
              </w:rPr>
            </w:pPr>
            <w:r>
              <w:rPr>
                <w:bCs/>
                <w:szCs w:val="24"/>
              </w:rPr>
              <w:t>4,8</w:t>
            </w:r>
          </w:p>
        </w:tc>
      </w:tr>
      <w:tr w:rsidR="004407CB" w:rsidRPr="002312F2" w:rsidTr="004407CB">
        <w:trPr>
          <w:trHeight w:val="579"/>
        </w:trPr>
        <w:tc>
          <w:tcPr>
            <w:tcW w:w="2014" w:type="dxa"/>
          </w:tcPr>
          <w:p w:rsidR="004407CB" w:rsidRDefault="004407CB" w:rsidP="00726148">
            <w:r w:rsidRPr="00DD5DEC">
              <w:rPr>
                <w:bCs/>
                <w:szCs w:val="24"/>
              </w:rPr>
              <w:t>Transición Ecológica</w:t>
            </w:r>
          </w:p>
        </w:tc>
        <w:tc>
          <w:tcPr>
            <w:tcW w:w="6612" w:type="dxa"/>
          </w:tcPr>
          <w:p w:rsidR="004407CB" w:rsidRDefault="004407CB" w:rsidP="00726148">
            <w:pPr>
              <w:spacing w:before="120" w:after="120"/>
              <w:jc w:val="both"/>
              <w:rPr>
                <w:bCs/>
                <w:szCs w:val="24"/>
              </w:rPr>
            </w:pPr>
            <w:r>
              <w:rPr>
                <w:bCs/>
                <w:szCs w:val="24"/>
              </w:rPr>
              <w:t xml:space="preserve">Edificaciones embalse </w:t>
            </w:r>
            <w:proofErr w:type="spellStart"/>
            <w:r>
              <w:rPr>
                <w:bCs/>
                <w:szCs w:val="24"/>
              </w:rPr>
              <w:t>Santomera</w:t>
            </w:r>
            <w:proofErr w:type="spellEnd"/>
          </w:p>
        </w:tc>
        <w:tc>
          <w:tcPr>
            <w:tcW w:w="1362" w:type="dxa"/>
          </w:tcPr>
          <w:p w:rsidR="004407CB" w:rsidRDefault="004407CB" w:rsidP="00726148">
            <w:pPr>
              <w:spacing w:before="120" w:after="120"/>
              <w:jc w:val="right"/>
              <w:rPr>
                <w:bCs/>
                <w:szCs w:val="24"/>
              </w:rPr>
            </w:pPr>
            <w:r>
              <w:rPr>
                <w:bCs/>
                <w:szCs w:val="24"/>
              </w:rPr>
              <w:t>0,3</w:t>
            </w:r>
          </w:p>
        </w:tc>
      </w:tr>
      <w:tr w:rsidR="004407CB" w:rsidRPr="002312F2" w:rsidTr="004407CB">
        <w:trPr>
          <w:trHeight w:val="579"/>
        </w:trPr>
        <w:tc>
          <w:tcPr>
            <w:tcW w:w="2014" w:type="dxa"/>
          </w:tcPr>
          <w:p w:rsidR="004407CB" w:rsidRDefault="004407CB" w:rsidP="00726148">
            <w:pPr>
              <w:spacing w:before="120" w:after="120"/>
              <w:jc w:val="both"/>
              <w:rPr>
                <w:bCs/>
                <w:szCs w:val="24"/>
              </w:rPr>
            </w:pPr>
            <w:r w:rsidRPr="00DD5DEC">
              <w:rPr>
                <w:bCs/>
                <w:szCs w:val="24"/>
              </w:rPr>
              <w:t>Transición Ecológica</w:t>
            </w:r>
          </w:p>
        </w:tc>
        <w:tc>
          <w:tcPr>
            <w:tcW w:w="6612" w:type="dxa"/>
          </w:tcPr>
          <w:p w:rsidR="004407CB" w:rsidRDefault="004407CB" w:rsidP="00726148">
            <w:pPr>
              <w:spacing w:before="120" w:after="120"/>
              <w:jc w:val="both"/>
              <w:rPr>
                <w:bCs/>
                <w:szCs w:val="24"/>
              </w:rPr>
            </w:pPr>
            <w:r>
              <w:rPr>
                <w:bCs/>
                <w:szCs w:val="24"/>
              </w:rPr>
              <w:t xml:space="preserve">Parque de </w:t>
            </w:r>
            <w:proofErr w:type="spellStart"/>
            <w:r>
              <w:rPr>
                <w:bCs/>
                <w:szCs w:val="24"/>
              </w:rPr>
              <w:t>Tentegorra</w:t>
            </w:r>
            <w:proofErr w:type="spellEnd"/>
          </w:p>
        </w:tc>
        <w:tc>
          <w:tcPr>
            <w:tcW w:w="1362" w:type="dxa"/>
          </w:tcPr>
          <w:p w:rsidR="004407CB" w:rsidRDefault="004407CB" w:rsidP="00726148">
            <w:pPr>
              <w:spacing w:before="120" w:after="120"/>
              <w:jc w:val="right"/>
              <w:rPr>
                <w:bCs/>
                <w:szCs w:val="24"/>
              </w:rPr>
            </w:pPr>
            <w:r>
              <w:rPr>
                <w:bCs/>
                <w:szCs w:val="24"/>
              </w:rPr>
              <w:t>0,3</w:t>
            </w:r>
          </w:p>
        </w:tc>
      </w:tr>
      <w:tr w:rsidR="004407CB" w:rsidRPr="002312F2" w:rsidTr="004407CB">
        <w:trPr>
          <w:trHeight w:val="579"/>
        </w:trPr>
        <w:tc>
          <w:tcPr>
            <w:tcW w:w="2014" w:type="dxa"/>
          </w:tcPr>
          <w:p w:rsidR="004407CB" w:rsidRDefault="004407CB" w:rsidP="00726148">
            <w:pPr>
              <w:spacing w:before="120" w:after="120"/>
              <w:jc w:val="both"/>
              <w:rPr>
                <w:bCs/>
                <w:szCs w:val="24"/>
              </w:rPr>
            </w:pPr>
            <w:r w:rsidRPr="00DD5DEC">
              <w:rPr>
                <w:bCs/>
                <w:szCs w:val="24"/>
              </w:rPr>
              <w:t>Transición Ecológica</w:t>
            </w:r>
          </w:p>
        </w:tc>
        <w:tc>
          <w:tcPr>
            <w:tcW w:w="6612" w:type="dxa"/>
          </w:tcPr>
          <w:p w:rsidR="004407CB" w:rsidRDefault="004407CB" w:rsidP="00726148">
            <w:pPr>
              <w:spacing w:before="120" w:after="120"/>
              <w:jc w:val="both"/>
              <w:rPr>
                <w:bCs/>
                <w:szCs w:val="24"/>
              </w:rPr>
            </w:pPr>
            <w:r>
              <w:rPr>
                <w:bCs/>
                <w:szCs w:val="24"/>
              </w:rPr>
              <w:t>Recrecimiento del Pantano Camarillas-Murcia</w:t>
            </w:r>
          </w:p>
        </w:tc>
        <w:tc>
          <w:tcPr>
            <w:tcW w:w="1362" w:type="dxa"/>
          </w:tcPr>
          <w:p w:rsidR="004407CB" w:rsidRDefault="004407CB" w:rsidP="00726148">
            <w:pPr>
              <w:spacing w:before="120" w:after="120"/>
              <w:jc w:val="right"/>
              <w:rPr>
                <w:bCs/>
                <w:szCs w:val="24"/>
              </w:rPr>
            </w:pPr>
            <w:r>
              <w:rPr>
                <w:bCs/>
                <w:szCs w:val="24"/>
              </w:rPr>
              <w:t>0,5</w:t>
            </w:r>
          </w:p>
        </w:tc>
      </w:tr>
      <w:tr w:rsidR="004407CB" w:rsidRPr="002312F2" w:rsidTr="004407CB">
        <w:trPr>
          <w:trHeight w:val="579"/>
        </w:trPr>
        <w:tc>
          <w:tcPr>
            <w:tcW w:w="2014" w:type="dxa"/>
          </w:tcPr>
          <w:p w:rsidR="004407CB" w:rsidRDefault="004407CB" w:rsidP="00726148">
            <w:r w:rsidRPr="00DD5DEC">
              <w:rPr>
                <w:bCs/>
                <w:szCs w:val="24"/>
              </w:rPr>
              <w:t>Transición Ecológica</w:t>
            </w:r>
          </w:p>
        </w:tc>
        <w:tc>
          <w:tcPr>
            <w:tcW w:w="6612" w:type="dxa"/>
          </w:tcPr>
          <w:p w:rsidR="004407CB" w:rsidRDefault="004407CB" w:rsidP="00726148">
            <w:pPr>
              <w:spacing w:before="120" w:after="120"/>
              <w:jc w:val="both"/>
              <w:rPr>
                <w:bCs/>
                <w:szCs w:val="24"/>
              </w:rPr>
            </w:pPr>
            <w:r>
              <w:rPr>
                <w:bCs/>
                <w:szCs w:val="24"/>
              </w:rPr>
              <w:t>Defensa frente a avenidas en Molina de Segura</w:t>
            </w:r>
          </w:p>
        </w:tc>
        <w:tc>
          <w:tcPr>
            <w:tcW w:w="1362" w:type="dxa"/>
          </w:tcPr>
          <w:p w:rsidR="004407CB" w:rsidRDefault="004407CB" w:rsidP="00726148">
            <w:pPr>
              <w:spacing w:before="120" w:after="120"/>
              <w:jc w:val="right"/>
              <w:rPr>
                <w:bCs/>
                <w:szCs w:val="24"/>
              </w:rPr>
            </w:pPr>
            <w:r>
              <w:rPr>
                <w:bCs/>
                <w:szCs w:val="24"/>
              </w:rPr>
              <w:t>0,5</w:t>
            </w:r>
          </w:p>
        </w:tc>
      </w:tr>
      <w:tr w:rsidR="004407CB" w:rsidRPr="002312F2" w:rsidTr="004407CB">
        <w:trPr>
          <w:trHeight w:val="579"/>
        </w:trPr>
        <w:tc>
          <w:tcPr>
            <w:tcW w:w="2014" w:type="dxa"/>
          </w:tcPr>
          <w:p w:rsidR="004407CB" w:rsidRDefault="004407CB" w:rsidP="00726148">
            <w:r w:rsidRPr="00DD5DEC">
              <w:rPr>
                <w:bCs/>
                <w:szCs w:val="24"/>
              </w:rPr>
              <w:t>Transición Ecológica</w:t>
            </w:r>
          </w:p>
        </w:tc>
        <w:tc>
          <w:tcPr>
            <w:tcW w:w="6612" w:type="dxa"/>
          </w:tcPr>
          <w:p w:rsidR="004407CB" w:rsidRDefault="004407CB" w:rsidP="00726148">
            <w:pPr>
              <w:spacing w:before="120" w:after="120"/>
              <w:jc w:val="both"/>
              <w:rPr>
                <w:bCs/>
                <w:szCs w:val="24"/>
              </w:rPr>
            </w:pPr>
            <w:r>
              <w:rPr>
                <w:bCs/>
                <w:szCs w:val="24"/>
              </w:rPr>
              <w:t>Plan CRECE</w:t>
            </w:r>
          </w:p>
        </w:tc>
        <w:tc>
          <w:tcPr>
            <w:tcW w:w="1362" w:type="dxa"/>
          </w:tcPr>
          <w:p w:rsidR="004407CB" w:rsidRDefault="004407CB" w:rsidP="00726148">
            <w:pPr>
              <w:spacing w:before="120" w:after="120"/>
              <w:jc w:val="right"/>
              <w:rPr>
                <w:bCs/>
                <w:szCs w:val="24"/>
              </w:rPr>
            </w:pPr>
            <w:r>
              <w:rPr>
                <w:bCs/>
                <w:szCs w:val="24"/>
              </w:rPr>
              <w:t>2,7</w:t>
            </w:r>
          </w:p>
        </w:tc>
      </w:tr>
      <w:tr w:rsidR="004407CB" w:rsidRPr="002312F2" w:rsidTr="004407CB">
        <w:trPr>
          <w:trHeight w:val="579"/>
        </w:trPr>
        <w:tc>
          <w:tcPr>
            <w:tcW w:w="2014" w:type="dxa"/>
          </w:tcPr>
          <w:p w:rsidR="004407CB" w:rsidRDefault="004407CB" w:rsidP="00726148">
            <w:pPr>
              <w:spacing w:before="120" w:after="120"/>
              <w:jc w:val="both"/>
              <w:rPr>
                <w:bCs/>
                <w:szCs w:val="24"/>
              </w:rPr>
            </w:pPr>
            <w:r w:rsidRPr="00DD5DEC">
              <w:rPr>
                <w:bCs/>
                <w:szCs w:val="24"/>
              </w:rPr>
              <w:t>Transición Ecológica</w:t>
            </w:r>
          </w:p>
        </w:tc>
        <w:tc>
          <w:tcPr>
            <w:tcW w:w="6612" w:type="dxa"/>
          </w:tcPr>
          <w:p w:rsidR="004407CB" w:rsidRDefault="004407CB" w:rsidP="00726148">
            <w:pPr>
              <w:spacing w:before="120" w:after="120"/>
              <w:jc w:val="both"/>
              <w:rPr>
                <w:bCs/>
                <w:szCs w:val="24"/>
              </w:rPr>
            </w:pPr>
            <w:r>
              <w:rPr>
                <w:bCs/>
                <w:szCs w:val="24"/>
              </w:rPr>
              <w:t xml:space="preserve">Regeneración y adecuación ambiental de la Bahía de </w:t>
            </w:r>
            <w:proofErr w:type="spellStart"/>
            <w:r>
              <w:rPr>
                <w:bCs/>
                <w:szCs w:val="24"/>
              </w:rPr>
              <w:t>Portman</w:t>
            </w:r>
            <w:proofErr w:type="spellEnd"/>
          </w:p>
        </w:tc>
        <w:tc>
          <w:tcPr>
            <w:tcW w:w="1362" w:type="dxa"/>
          </w:tcPr>
          <w:p w:rsidR="004407CB" w:rsidRDefault="004407CB" w:rsidP="00726148">
            <w:pPr>
              <w:spacing w:before="120" w:after="120"/>
              <w:jc w:val="right"/>
              <w:rPr>
                <w:bCs/>
                <w:szCs w:val="24"/>
              </w:rPr>
            </w:pPr>
            <w:r>
              <w:rPr>
                <w:bCs/>
                <w:szCs w:val="24"/>
              </w:rPr>
              <w:t>10,1</w:t>
            </w:r>
          </w:p>
        </w:tc>
      </w:tr>
      <w:tr w:rsidR="004407CB" w:rsidRPr="002312F2" w:rsidTr="004407CB">
        <w:trPr>
          <w:trHeight w:val="579"/>
        </w:trPr>
        <w:tc>
          <w:tcPr>
            <w:tcW w:w="2014" w:type="dxa"/>
          </w:tcPr>
          <w:p w:rsidR="004407CB" w:rsidRDefault="004407CB" w:rsidP="00726148">
            <w:pPr>
              <w:spacing w:before="120" w:after="120"/>
              <w:jc w:val="both"/>
              <w:rPr>
                <w:bCs/>
                <w:szCs w:val="24"/>
              </w:rPr>
            </w:pPr>
            <w:r>
              <w:rPr>
                <w:bCs/>
                <w:szCs w:val="24"/>
              </w:rPr>
              <w:t>Cultura y Deporte</w:t>
            </w:r>
          </w:p>
        </w:tc>
        <w:tc>
          <w:tcPr>
            <w:tcW w:w="6612" w:type="dxa"/>
          </w:tcPr>
          <w:p w:rsidR="004407CB" w:rsidRDefault="004407CB" w:rsidP="00726148">
            <w:pPr>
              <w:spacing w:before="120" w:after="120"/>
              <w:jc w:val="both"/>
              <w:rPr>
                <w:bCs/>
                <w:szCs w:val="24"/>
              </w:rPr>
            </w:pPr>
            <w:r>
              <w:rPr>
                <w:bCs/>
                <w:szCs w:val="24"/>
              </w:rPr>
              <w:t>Castillo de Monteagudo</w:t>
            </w:r>
          </w:p>
        </w:tc>
        <w:tc>
          <w:tcPr>
            <w:tcW w:w="1362" w:type="dxa"/>
          </w:tcPr>
          <w:p w:rsidR="004407CB" w:rsidRDefault="004407CB" w:rsidP="00726148">
            <w:pPr>
              <w:spacing w:before="120" w:after="120"/>
              <w:jc w:val="right"/>
              <w:rPr>
                <w:bCs/>
                <w:szCs w:val="24"/>
              </w:rPr>
            </w:pPr>
            <w:r>
              <w:rPr>
                <w:bCs/>
                <w:szCs w:val="24"/>
              </w:rPr>
              <w:t>0,2</w:t>
            </w:r>
          </w:p>
        </w:tc>
      </w:tr>
      <w:tr w:rsidR="004407CB" w:rsidRPr="002312F2" w:rsidTr="004407CB">
        <w:trPr>
          <w:trHeight w:val="579"/>
        </w:trPr>
        <w:tc>
          <w:tcPr>
            <w:tcW w:w="2014" w:type="dxa"/>
          </w:tcPr>
          <w:p w:rsidR="004407CB" w:rsidRDefault="004407CB" w:rsidP="00726148">
            <w:pPr>
              <w:spacing w:before="120" w:after="120"/>
              <w:jc w:val="both"/>
              <w:rPr>
                <w:bCs/>
                <w:szCs w:val="24"/>
              </w:rPr>
            </w:pPr>
            <w:r>
              <w:rPr>
                <w:bCs/>
                <w:szCs w:val="24"/>
              </w:rPr>
              <w:t>Cultura y Deporte</w:t>
            </w:r>
          </w:p>
        </w:tc>
        <w:tc>
          <w:tcPr>
            <w:tcW w:w="6612" w:type="dxa"/>
          </w:tcPr>
          <w:p w:rsidR="004407CB" w:rsidRDefault="004407CB" w:rsidP="00726148">
            <w:pPr>
              <w:spacing w:before="120" w:after="120"/>
              <w:jc w:val="both"/>
              <w:rPr>
                <w:bCs/>
                <w:szCs w:val="24"/>
              </w:rPr>
            </w:pPr>
            <w:r>
              <w:rPr>
                <w:bCs/>
                <w:szCs w:val="24"/>
              </w:rPr>
              <w:t>Pinturas murales del Monasterio de Sta. María de las Huertas Lorca</w:t>
            </w:r>
          </w:p>
        </w:tc>
        <w:tc>
          <w:tcPr>
            <w:tcW w:w="1362" w:type="dxa"/>
          </w:tcPr>
          <w:p w:rsidR="004407CB" w:rsidRDefault="004407CB" w:rsidP="00726148">
            <w:pPr>
              <w:spacing w:before="120" w:after="120"/>
              <w:jc w:val="right"/>
              <w:rPr>
                <w:bCs/>
                <w:szCs w:val="24"/>
              </w:rPr>
            </w:pPr>
            <w:r>
              <w:rPr>
                <w:bCs/>
                <w:szCs w:val="24"/>
              </w:rPr>
              <w:t>0,2</w:t>
            </w:r>
          </w:p>
        </w:tc>
      </w:tr>
      <w:tr w:rsidR="004407CB" w:rsidRPr="002312F2" w:rsidTr="004407CB">
        <w:trPr>
          <w:trHeight w:val="579"/>
        </w:trPr>
        <w:tc>
          <w:tcPr>
            <w:tcW w:w="2014" w:type="dxa"/>
          </w:tcPr>
          <w:p w:rsidR="004407CB" w:rsidRDefault="004407CB" w:rsidP="00726148">
            <w:pPr>
              <w:spacing w:before="120" w:after="120"/>
              <w:jc w:val="both"/>
              <w:rPr>
                <w:bCs/>
                <w:szCs w:val="24"/>
              </w:rPr>
            </w:pPr>
            <w:r>
              <w:rPr>
                <w:bCs/>
                <w:szCs w:val="24"/>
              </w:rPr>
              <w:t>ADIF-Alta Velocidad</w:t>
            </w:r>
          </w:p>
        </w:tc>
        <w:tc>
          <w:tcPr>
            <w:tcW w:w="6612" w:type="dxa"/>
          </w:tcPr>
          <w:p w:rsidR="004407CB" w:rsidRDefault="004407CB" w:rsidP="00726148">
            <w:pPr>
              <w:spacing w:before="120" w:after="120"/>
              <w:jc w:val="both"/>
              <w:rPr>
                <w:bCs/>
                <w:szCs w:val="24"/>
              </w:rPr>
            </w:pPr>
            <w:r>
              <w:rPr>
                <w:bCs/>
                <w:szCs w:val="24"/>
              </w:rPr>
              <w:t>LAV Murcia-Almería</w:t>
            </w:r>
          </w:p>
        </w:tc>
        <w:tc>
          <w:tcPr>
            <w:tcW w:w="1362" w:type="dxa"/>
          </w:tcPr>
          <w:p w:rsidR="004407CB" w:rsidRDefault="004407CB" w:rsidP="00726148">
            <w:pPr>
              <w:spacing w:before="120" w:after="120"/>
              <w:jc w:val="right"/>
              <w:rPr>
                <w:bCs/>
                <w:szCs w:val="24"/>
              </w:rPr>
            </w:pPr>
            <w:r>
              <w:rPr>
                <w:bCs/>
                <w:szCs w:val="24"/>
              </w:rPr>
              <w:t>177,5</w:t>
            </w:r>
          </w:p>
        </w:tc>
      </w:tr>
      <w:tr w:rsidR="004407CB" w:rsidRPr="002312F2" w:rsidTr="004407CB">
        <w:trPr>
          <w:trHeight w:val="579"/>
        </w:trPr>
        <w:tc>
          <w:tcPr>
            <w:tcW w:w="2014" w:type="dxa"/>
          </w:tcPr>
          <w:p w:rsidR="004407CB" w:rsidRDefault="004407CB" w:rsidP="00726148">
            <w:pPr>
              <w:spacing w:before="120" w:after="120"/>
              <w:jc w:val="both"/>
              <w:rPr>
                <w:bCs/>
                <w:szCs w:val="24"/>
              </w:rPr>
            </w:pPr>
            <w:r w:rsidRPr="00E92668">
              <w:rPr>
                <w:bCs/>
                <w:szCs w:val="24"/>
              </w:rPr>
              <w:t>ADIF-Alta Velocidad</w:t>
            </w:r>
          </w:p>
        </w:tc>
        <w:tc>
          <w:tcPr>
            <w:tcW w:w="6612" w:type="dxa"/>
          </w:tcPr>
          <w:p w:rsidR="004407CB" w:rsidRDefault="004407CB" w:rsidP="00726148">
            <w:pPr>
              <w:spacing w:before="120" w:after="120"/>
              <w:jc w:val="both"/>
              <w:rPr>
                <w:bCs/>
                <w:szCs w:val="24"/>
              </w:rPr>
            </w:pPr>
            <w:r>
              <w:rPr>
                <w:bCs/>
                <w:szCs w:val="24"/>
              </w:rPr>
              <w:t>LAV Levante</w:t>
            </w:r>
          </w:p>
        </w:tc>
        <w:tc>
          <w:tcPr>
            <w:tcW w:w="1362" w:type="dxa"/>
          </w:tcPr>
          <w:p w:rsidR="004407CB" w:rsidRDefault="004407CB" w:rsidP="00726148">
            <w:pPr>
              <w:spacing w:before="120" w:after="120"/>
              <w:jc w:val="right"/>
              <w:rPr>
                <w:bCs/>
                <w:szCs w:val="24"/>
              </w:rPr>
            </w:pPr>
            <w:r>
              <w:rPr>
                <w:bCs/>
                <w:szCs w:val="24"/>
              </w:rPr>
              <w:t>13,2</w:t>
            </w:r>
          </w:p>
        </w:tc>
      </w:tr>
      <w:tr w:rsidR="004407CB" w:rsidRPr="002312F2" w:rsidTr="004407CB">
        <w:trPr>
          <w:trHeight w:val="579"/>
        </w:trPr>
        <w:tc>
          <w:tcPr>
            <w:tcW w:w="2014" w:type="dxa"/>
          </w:tcPr>
          <w:p w:rsidR="004407CB" w:rsidRDefault="004407CB" w:rsidP="00726148">
            <w:pPr>
              <w:spacing w:before="120" w:after="120"/>
              <w:jc w:val="both"/>
              <w:rPr>
                <w:bCs/>
                <w:szCs w:val="24"/>
              </w:rPr>
            </w:pPr>
            <w:r w:rsidRPr="00E92668">
              <w:rPr>
                <w:bCs/>
                <w:szCs w:val="24"/>
              </w:rPr>
              <w:t>ADIF-Alta Velocidad</w:t>
            </w:r>
          </w:p>
        </w:tc>
        <w:tc>
          <w:tcPr>
            <w:tcW w:w="6612" w:type="dxa"/>
          </w:tcPr>
          <w:p w:rsidR="004407CB" w:rsidRDefault="004407CB" w:rsidP="00726148">
            <w:pPr>
              <w:spacing w:before="120" w:after="120"/>
              <w:jc w:val="both"/>
              <w:rPr>
                <w:bCs/>
                <w:szCs w:val="24"/>
              </w:rPr>
            </w:pPr>
            <w:r>
              <w:rPr>
                <w:bCs/>
                <w:szCs w:val="24"/>
              </w:rPr>
              <w:t>Murcia-Cartagena (incluidas estaciones de Torre-Pacheco y Cartagena)</w:t>
            </w:r>
          </w:p>
        </w:tc>
        <w:tc>
          <w:tcPr>
            <w:tcW w:w="1362" w:type="dxa"/>
          </w:tcPr>
          <w:p w:rsidR="004407CB" w:rsidRDefault="004407CB" w:rsidP="00726148">
            <w:pPr>
              <w:spacing w:before="120" w:after="120"/>
              <w:jc w:val="right"/>
              <w:rPr>
                <w:bCs/>
                <w:szCs w:val="24"/>
              </w:rPr>
            </w:pPr>
            <w:r>
              <w:rPr>
                <w:bCs/>
                <w:szCs w:val="24"/>
              </w:rPr>
              <w:t>15</w:t>
            </w:r>
          </w:p>
        </w:tc>
      </w:tr>
      <w:tr w:rsidR="004407CB" w:rsidRPr="002312F2" w:rsidTr="004407CB">
        <w:trPr>
          <w:trHeight w:val="579"/>
        </w:trPr>
        <w:tc>
          <w:tcPr>
            <w:tcW w:w="2014" w:type="dxa"/>
          </w:tcPr>
          <w:p w:rsidR="004407CB" w:rsidRDefault="004407CB" w:rsidP="00726148">
            <w:pPr>
              <w:spacing w:before="120" w:after="120"/>
              <w:jc w:val="both"/>
              <w:rPr>
                <w:bCs/>
                <w:szCs w:val="24"/>
              </w:rPr>
            </w:pPr>
            <w:r>
              <w:rPr>
                <w:bCs/>
                <w:szCs w:val="24"/>
              </w:rPr>
              <w:t>ACUAMED</w:t>
            </w:r>
          </w:p>
        </w:tc>
        <w:tc>
          <w:tcPr>
            <w:tcW w:w="6612" w:type="dxa"/>
          </w:tcPr>
          <w:p w:rsidR="004407CB" w:rsidRDefault="004407CB" w:rsidP="00726148">
            <w:pPr>
              <w:spacing w:before="120" w:after="120"/>
              <w:jc w:val="both"/>
              <w:rPr>
                <w:bCs/>
                <w:szCs w:val="24"/>
              </w:rPr>
            </w:pPr>
            <w:proofErr w:type="spellStart"/>
            <w:r>
              <w:rPr>
                <w:bCs/>
                <w:szCs w:val="24"/>
              </w:rPr>
              <w:t>Desaladora</w:t>
            </w:r>
            <w:proofErr w:type="spellEnd"/>
            <w:r>
              <w:rPr>
                <w:bCs/>
                <w:szCs w:val="24"/>
              </w:rPr>
              <w:t xml:space="preserve"> de </w:t>
            </w:r>
            <w:proofErr w:type="spellStart"/>
            <w:r>
              <w:rPr>
                <w:bCs/>
                <w:szCs w:val="24"/>
              </w:rPr>
              <w:t>Valdelentisco</w:t>
            </w:r>
            <w:proofErr w:type="spellEnd"/>
            <w:r>
              <w:rPr>
                <w:bCs/>
                <w:szCs w:val="24"/>
              </w:rPr>
              <w:t xml:space="preserve"> – Eficiencia Energética</w:t>
            </w:r>
          </w:p>
        </w:tc>
        <w:tc>
          <w:tcPr>
            <w:tcW w:w="1362" w:type="dxa"/>
          </w:tcPr>
          <w:p w:rsidR="004407CB" w:rsidRDefault="004407CB" w:rsidP="00726148">
            <w:pPr>
              <w:spacing w:before="120" w:after="120"/>
              <w:jc w:val="right"/>
              <w:rPr>
                <w:bCs/>
                <w:szCs w:val="24"/>
              </w:rPr>
            </w:pPr>
            <w:r>
              <w:rPr>
                <w:bCs/>
                <w:szCs w:val="24"/>
              </w:rPr>
              <w:t>2,0</w:t>
            </w:r>
          </w:p>
        </w:tc>
      </w:tr>
      <w:tr w:rsidR="004407CB" w:rsidRPr="002312F2" w:rsidTr="004407CB">
        <w:trPr>
          <w:trHeight w:val="579"/>
        </w:trPr>
        <w:tc>
          <w:tcPr>
            <w:tcW w:w="2014" w:type="dxa"/>
          </w:tcPr>
          <w:p w:rsidR="004407CB" w:rsidRDefault="004407CB" w:rsidP="00726148">
            <w:pPr>
              <w:spacing w:before="120" w:after="120"/>
              <w:jc w:val="both"/>
              <w:rPr>
                <w:bCs/>
                <w:szCs w:val="24"/>
              </w:rPr>
            </w:pPr>
            <w:r>
              <w:rPr>
                <w:bCs/>
                <w:szCs w:val="24"/>
              </w:rPr>
              <w:t>Puertos del Estado y Autoridades Portuarias</w:t>
            </w:r>
          </w:p>
        </w:tc>
        <w:tc>
          <w:tcPr>
            <w:tcW w:w="6612" w:type="dxa"/>
          </w:tcPr>
          <w:p w:rsidR="004407CB" w:rsidRDefault="004407CB" w:rsidP="00726148">
            <w:pPr>
              <w:spacing w:before="120" w:after="120"/>
              <w:jc w:val="both"/>
              <w:rPr>
                <w:bCs/>
                <w:szCs w:val="24"/>
              </w:rPr>
            </w:pPr>
            <w:r>
              <w:rPr>
                <w:bCs/>
                <w:szCs w:val="24"/>
              </w:rPr>
              <w:t xml:space="preserve">Inversiones </w:t>
            </w:r>
            <w:proofErr w:type="spellStart"/>
            <w:r>
              <w:rPr>
                <w:bCs/>
                <w:szCs w:val="24"/>
              </w:rPr>
              <w:t>I+D+i</w:t>
            </w:r>
            <w:proofErr w:type="spellEnd"/>
          </w:p>
        </w:tc>
        <w:tc>
          <w:tcPr>
            <w:tcW w:w="1362" w:type="dxa"/>
          </w:tcPr>
          <w:p w:rsidR="004407CB" w:rsidRDefault="004407CB" w:rsidP="00726148">
            <w:pPr>
              <w:spacing w:before="120" w:after="120"/>
              <w:jc w:val="right"/>
              <w:rPr>
                <w:bCs/>
                <w:szCs w:val="24"/>
              </w:rPr>
            </w:pPr>
            <w:r>
              <w:rPr>
                <w:bCs/>
                <w:szCs w:val="24"/>
              </w:rPr>
              <w:t>2,1</w:t>
            </w:r>
          </w:p>
        </w:tc>
      </w:tr>
      <w:tr w:rsidR="004407CB" w:rsidRPr="002312F2" w:rsidTr="004407CB">
        <w:trPr>
          <w:trHeight w:val="579"/>
        </w:trPr>
        <w:tc>
          <w:tcPr>
            <w:tcW w:w="2014" w:type="dxa"/>
          </w:tcPr>
          <w:p w:rsidR="004407CB" w:rsidRDefault="004407CB" w:rsidP="00726148">
            <w:pPr>
              <w:spacing w:before="120" w:after="120"/>
              <w:jc w:val="both"/>
              <w:rPr>
                <w:bCs/>
                <w:szCs w:val="24"/>
              </w:rPr>
            </w:pPr>
            <w:r>
              <w:rPr>
                <w:bCs/>
                <w:szCs w:val="24"/>
              </w:rPr>
              <w:lastRenderedPageBreak/>
              <w:t>Puertos del Estado y Autoridades Portuarias</w:t>
            </w:r>
          </w:p>
        </w:tc>
        <w:tc>
          <w:tcPr>
            <w:tcW w:w="6612" w:type="dxa"/>
          </w:tcPr>
          <w:p w:rsidR="004407CB" w:rsidRDefault="004407CB" w:rsidP="00726148">
            <w:pPr>
              <w:spacing w:before="120" w:after="120"/>
              <w:jc w:val="both"/>
              <w:rPr>
                <w:bCs/>
                <w:szCs w:val="24"/>
              </w:rPr>
            </w:pPr>
            <w:r>
              <w:rPr>
                <w:bCs/>
                <w:szCs w:val="24"/>
              </w:rPr>
              <w:t>Actuaciones en materia de accesibilidad ferroviaria con financiación a cargo del FFTAP</w:t>
            </w:r>
          </w:p>
        </w:tc>
        <w:tc>
          <w:tcPr>
            <w:tcW w:w="1362" w:type="dxa"/>
          </w:tcPr>
          <w:p w:rsidR="004407CB" w:rsidRDefault="004407CB" w:rsidP="00726148">
            <w:pPr>
              <w:spacing w:before="120" w:after="120"/>
              <w:jc w:val="right"/>
              <w:rPr>
                <w:bCs/>
                <w:szCs w:val="24"/>
              </w:rPr>
            </w:pPr>
            <w:r>
              <w:rPr>
                <w:bCs/>
                <w:szCs w:val="24"/>
              </w:rPr>
              <w:t>3,8</w:t>
            </w:r>
          </w:p>
        </w:tc>
      </w:tr>
      <w:tr w:rsidR="004407CB" w:rsidRPr="002312F2" w:rsidTr="004407CB">
        <w:trPr>
          <w:trHeight w:val="579"/>
        </w:trPr>
        <w:tc>
          <w:tcPr>
            <w:tcW w:w="2014" w:type="dxa"/>
          </w:tcPr>
          <w:p w:rsidR="004407CB" w:rsidRDefault="004407CB" w:rsidP="00726148">
            <w:pPr>
              <w:spacing w:before="120" w:after="120"/>
              <w:jc w:val="both"/>
              <w:rPr>
                <w:bCs/>
                <w:szCs w:val="24"/>
              </w:rPr>
            </w:pPr>
            <w:r>
              <w:rPr>
                <w:bCs/>
                <w:szCs w:val="24"/>
              </w:rPr>
              <w:t>SIEPSE</w:t>
            </w:r>
          </w:p>
        </w:tc>
        <w:tc>
          <w:tcPr>
            <w:tcW w:w="6612" w:type="dxa"/>
          </w:tcPr>
          <w:p w:rsidR="004407CB" w:rsidRDefault="004407CB" w:rsidP="00726148">
            <w:pPr>
              <w:spacing w:before="120" w:after="120"/>
              <w:jc w:val="both"/>
              <w:rPr>
                <w:bCs/>
                <w:szCs w:val="24"/>
              </w:rPr>
            </w:pPr>
            <w:r>
              <w:rPr>
                <w:bCs/>
                <w:szCs w:val="24"/>
              </w:rPr>
              <w:t>2º Plan de Reformas Centro Penitenciario Murcia I</w:t>
            </w:r>
          </w:p>
        </w:tc>
        <w:tc>
          <w:tcPr>
            <w:tcW w:w="1362" w:type="dxa"/>
          </w:tcPr>
          <w:p w:rsidR="004407CB" w:rsidRDefault="004407CB" w:rsidP="00726148">
            <w:pPr>
              <w:spacing w:before="120" w:after="120"/>
              <w:jc w:val="right"/>
              <w:rPr>
                <w:bCs/>
                <w:szCs w:val="24"/>
              </w:rPr>
            </w:pPr>
            <w:r>
              <w:rPr>
                <w:bCs/>
                <w:szCs w:val="24"/>
              </w:rPr>
              <w:t>1,5</w:t>
            </w:r>
          </w:p>
        </w:tc>
      </w:tr>
      <w:tr w:rsidR="004407CB" w:rsidRPr="002312F2" w:rsidTr="004407CB">
        <w:trPr>
          <w:trHeight w:val="579"/>
        </w:trPr>
        <w:tc>
          <w:tcPr>
            <w:tcW w:w="2014" w:type="dxa"/>
          </w:tcPr>
          <w:p w:rsidR="004407CB" w:rsidRDefault="004407CB" w:rsidP="00726148">
            <w:pPr>
              <w:spacing w:before="120" w:after="120"/>
              <w:jc w:val="both"/>
              <w:rPr>
                <w:bCs/>
                <w:szCs w:val="24"/>
              </w:rPr>
            </w:pPr>
            <w:r>
              <w:rPr>
                <w:bCs/>
                <w:szCs w:val="24"/>
              </w:rPr>
              <w:t>SEPI</w:t>
            </w:r>
          </w:p>
        </w:tc>
        <w:tc>
          <w:tcPr>
            <w:tcW w:w="6612" w:type="dxa"/>
          </w:tcPr>
          <w:p w:rsidR="004407CB" w:rsidRDefault="004407CB" w:rsidP="00726148">
            <w:pPr>
              <w:spacing w:before="120" w:after="120"/>
              <w:jc w:val="both"/>
              <w:rPr>
                <w:bCs/>
                <w:szCs w:val="24"/>
              </w:rPr>
            </w:pPr>
            <w:r>
              <w:rPr>
                <w:bCs/>
                <w:szCs w:val="24"/>
              </w:rPr>
              <w:t>Sustitución del torno vertical INROMAIN</w:t>
            </w:r>
          </w:p>
        </w:tc>
        <w:tc>
          <w:tcPr>
            <w:tcW w:w="1362" w:type="dxa"/>
          </w:tcPr>
          <w:p w:rsidR="004407CB" w:rsidRDefault="004407CB" w:rsidP="00726148">
            <w:pPr>
              <w:spacing w:before="120" w:after="120"/>
              <w:jc w:val="right"/>
              <w:rPr>
                <w:bCs/>
                <w:szCs w:val="24"/>
              </w:rPr>
            </w:pPr>
            <w:r>
              <w:rPr>
                <w:bCs/>
                <w:szCs w:val="24"/>
              </w:rPr>
              <w:t>2,5</w:t>
            </w:r>
          </w:p>
        </w:tc>
      </w:tr>
    </w:tbl>
    <w:p w:rsidR="004407CB" w:rsidRDefault="004407CB" w:rsidP="004407CB">
      <w:pPr>
        <w:ind w:left="3060"/>
      </w:pPr>
    </w:p>
    <w:p w:rsidR="004407CB" w:rsidRPr="00D26E32" w:rsidRDefault="004407CB" w:rsidP="004407CB">
      <w:pPr>
        <w:ind w:left="3060"/>
        <w:rPr>
          <w:b/>
          <w:bCs/>
          <w:szCs w:val="24"/>
          <w:u w:val="single"/>
        </w:rPr>
      </w:pPr>
      <w:bookmarkStart w:id="0" w:name="_Toc534889790"/>
      <w:r w:rsidRPr="00D26E32">
        <w:rPr>
          <w:b/>
          <w:bCs/>
          <w:szCs w:val="24"/>
          <w:u w:val="single"/>
        </w:rPr>
        <w:t>FINANCIACIÓN 2018-2019</w:t>
      </w:r>
      <w:bookmarkEnd w:id="0"/>
    </w:p>
    <w:tbl>
      <w:tblPr>
        <w:tblW w:w="5000" w:type="pct"/>
        <w:tblInd w:w="397" w:type="dxa"/>
        <w:tblCellMar>
          <w:left w:w="70" w:type="dxa"/>
          <w:right w:w="70" w:type="dxa"/>
        </w:tblCellMar>
        <w:tblLook w:val="04A0" w:firstRow="1" w:lastRow="0" w:firstColumn="1" w:lastColumn="0" w:noHBand="0" w:noVBand="1"/>
      </w:tblPr>
      <w:tblGrid>
        <w:gridCol w:w="595"/>
        <w:gridCol w:w="780"/>
        <w:gridCol w:w="672"/>
        <w:gridCol w:w="724"/>
        <w:gridCol w:w="866"/>
        <w:gridCol w:w="882"/>
        <w:gridCol w:w="642"/>
        <w:gridCol w:w="776"/>
        <w:gridCol w:w="960"/>
        <w:gridCol w:w="605"/>
        <w:gridCol w:w="607"/>
        <w:gridCol w:w="776"/>
        <w:gridCol w:w="834"/>
        <w:gridCol w:w="711"/>
      </w:tblGrid>
      <w:tr w:rsidR="004407CB" w:rsidTr="004407CB">
        <w:trPr>
          <w:cantSplit/>
          <w:trHeight w:val="185"/>
          <w:tblHeader/>
        </w:trPr>
        <w:tc>
          <w:tcPr>
            <w:tcW w:w="5000" w:type="pct"/>
            <w:gridSpan w:val="14"/>
            <w:tcBorders>
              <w:bottom w:val="single" w:sz="4" w:space="0" w:color="auto"/>
            </w:tcBorders>
            <w:noWrap/>
            <w:vAlign w:val="center"/>
            <w:hideMark/>
          </w:tcPr>
          <w:p w:rsidR="004407CB" w:rsidRDefault="004407CB" w:rsidP="00726148">
            <w:pPr>
              <w:spacing w:line="252" w:lineRule="auto"/>
              <w:jc w:val="right"/>
              <w:rPr>
                <w:b/>
                <w:bCs/>
                <w:sz w:val="14"/>
                <w:szCs w:val="14"/>
              </w:rPr>
            </w:pPr>
            <w:r>
              <w:rPr>
                <w:i/>
                <w:iCs/>
                <w:sz w:val="16"/>
              </w:rPr>
              <w:t xml:space="preserve"> </w:t>
            </w:r>
          </w:p>
        </w:tc>
      </w:tr>
      <w:tr w:rsidR="004407CB" w:rsidTr="004407CB">
        <w:trPr>
          <w:cantSplit/>
          <w:trHeight w:val="317"/>
          <w:tblHeader/>
        </w:trPr>
        <w:tc>
          <w:tcPr>
            <w:tcW w:w="285"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tcPr>
          <w:p w:rsidR="004407CB" w:rsidRDefault="004407CB" w:rsidP="00726148">
            <w:pPr>
              <w:spacing w:line="252" w:lineRule="auto"/>
              <w:jc w:val="center"/>
              <w:rPr>
                <w:b/>
                <w:bCs/>
                <w:sz w:val="14"/>
                <w:szCs w:val="14"/>
              </w:rPr>
            </w:pPr>
          </w:p>
        </w:tc>
        <w:tc>
          <w:tcPr>
            <w:tcW w:w="1458"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4407CB" w:rsidRDefault="004407CB" w:rsidP="00726148">
            <w:pPr>
              <w:spacing w:line="252" w:lineRule="auto"/>
              <w:jc w:val="center"/>
              <w:rPr>
                <w:b/>
                <w:bCs/>
                <w:sz w:val="14"/>
                <w:szCs w:val="14"/>
              </w:rPr>
            </w:pPr>
            <w:r>
              <w:rPr>
                <w:b/>
                <w:bCs/>
                <w:sz w:val="14"/>
                <w:szCs w:val="14"/>
              </w:rPr>
              <w:t>2018</w:t>
            </w:r>
          </w:p>
        </w:tc>
        <w:tc>
          <w:tcPr>
            <w:tcW w:w="1563"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4407CB" w:rsidRDefault="004407CB" w:rsidP="00726148">
            <w:pPr>
              <w:spacing w:line="252" w:lineRule="auto"/>
              <w:jc w:val="center"/>
              <w:rPr>
                <w:b/>
                <w:bCs/>
                <w:sz w:val="14"/>
                <w:szCs w:val="14"/>
              </w:rPr>
            </w:pPr>
            <w:r>
              <w:rPr>
                <w:b/>
                <w:bCs/>
                <w:sz w:val="14"/>
                <w:szCs w:val="14"/>
              </w:rPr>
              <w:t>Proyecto PGE 2019 (No comunicado)(*)</w:t>
            </w:r>
          </w:p>
        </w:tc>
        <w:tc>
          <w:tcPr>
            <w:tcW w:w="290" w:type="pct"/>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407CB" w:rsidRDefault="004407CB" w:rsidP="00726148">
            <w:pPr>
              <w:spacing w:line="252" w:lineRule="auto"/>
              <w:ind w:left="113" w:right="113"/>
              <w:jc w:val="center"/>
              <w:rPr>
                <w:b/>
                <w:bCs/>
                <w:sz w:val="14"/>
                <w:szCs w:val="14"/>
              </w:rPr>
            </w:pPr>
            <w:r>
              <w:rPr>
                <w:b/>
                <w:bCs/>
                <w:sz w:val="14"/>
                <w:szCs w:val="14"/>
              </w:rPr>
              <w:t>% Variación entregas a cuenta</w:t>
            </w:r>
          </w:p>
        </w:tc>
        <w:tc>
          <w:tcPr>
            <w:tcW w:w="291" w:type="pct"/>
            <w:vMerge w:val="restar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407CB" w:rsidRDefault="004407CB" w:rsidP="00726148">
            <w:pPr>
              <w:spacing w:line="252" w:lineRule="auto"/>
              <w:ind w:left="113" w:right="113"/>
              <w:jc w:val="center"/>
              <w:rPr>
                <w:b/>
                <w:bCs/>
                <w:sz w:val="14"/>
                <w:szCs w:val="14"/>
              </w:rPr>
            </w:pPr>
            <w:r>
              <w:rPr>
                <w:b/>
                <w:bCs/>
                <w:sz w:val="14"/>
                <w:szCs w:val="14"/>
              </w:rPr>
              <w:t>% Variación financiación anual</w:t>
            </w:r>
          </w:p>
        </w:tc>
        <w:tc>
          <w:tcPr>
            <w:tcW w:w="1113"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4407CB" w:rsidRDefault="004407CB" w:rsidP="00726148">
            <w:pPr>
              <w:spacing w:line="252" w:lineRule="auto"/>
              <w:jc w:val="center"/>
              <w:rPr>
                <w:b/>
                <w:bCs/>
                <w:sz w:val="14"/>
                <w:szCs w:val="14"/>
              </w:rPr>
            </w:pPr>
            <w:r>
              <w:rPr>
                <w:b/>
                <w:bCs/>
                <w:sz w:val="14"/>
                <w:szCs w:val="14"/>
              </w:rPr>
              <w:t>Variación en valores absolutos</w:t>
            </w:r>
          </w:p>
        </w:tc>
      </w:tr>
      <w:tr w:rsidR="004407CB" w:rsidTr="004407CB">
        <w:trPr>
          <w:cantSplit/>
          <w:trHeight w:val="121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407CB" w:rsidRDefault="004407CB" w:rsidP="00726148">
            <w:pPr>
              <w:spacing w:line="256" w:lineRule="auto"/>
              <w:rPr>
                <w:b/>
                <w:bCs/>
                <w:sz w:val="14"/>
                <w:szCs w:val="14"/>
              </w:rPr>
            </w:pPr>
          </w:p>
        </w:tc>
        <w:tc>
          <w:tcPr>
            <w:tcW w:w="374"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rsidR="004407CB" w:rsidRDefault="004407CB" w:rsidP="00726148">
            <w:pPr>
              <w:spacing w:line="252" w:lineRule="auto"/>
              <w:ind w:left="113" w:right="113"/>
              <w:jc w:val="center"/>
              <w:rPr>
                <w:b/>
                <w:sz w:val="14"/>
                <w:szCs w:val="14"/>
              </w:rPr>
            </w:pPr>
            <w:r>
              <w:rPr>
                <w:b/>
                <w:sz w:val="14"/>
                <w:szCs w:val="14"/>
              </w:rPr>
              <w:t>Entregas a cuenta</w:t>
            </w:r>
          </w:p>
        </w:tc>
        <w:tc>
          <w:tcPr>
            <w:tcW w:w="322"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rsidR="004407CB" w:rsidRDefault="004407CB" w:rsidP="00726148">
            <w:pPr>
              <w:spacing w:line="252" w:lineRule="auto"/>
              <w:ind w:left="113" w:right="113"/>
              <w:jc w:val="center"/>
              <w:rPr>
                <w:b/>
                <w:sz w:val="14"/>
                <w:szCs w:val="14"/>
              </w:rPr>
            </w:pPr>
            <w:r>
              <w:rPr>
                <w:b/>
                <w:sz w:val="14"/>
                <w:szCs w:val="14"/>
              </w:rPr>
              <w:t>Reintegro anticipo</w:t>
            </w:r>
          </w:p>
        </w:tc>
        <w:tc>
          <w:tcPr>
            <w:tcW w:w="347"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rsidR="004407CB" w:rsidRDefault="004407CB" w:rsidP="00726148">
            <w:pPr>
              <w:spacing w:line="252" w:lineRule="auto"/>
              <w:ind w:left="113" w:right="113"/>
              <w:jc w:val="center"/>
              <w:rPr>
                <w:b/>
                <w:sz w:val="14"/>
                <w:szCs w:val="14"/>
              </w:rPr>
            </w:pPr>
            <w:r>
              <w:rPr>
                <w:b/>
                <w:sz w:val="14"/>
                <w:szCs w:val="14"/>
              </w:rPr>
              <w:t>Liquidación 2016</w:t>
            </w:r>
          </w:p>
        </w:tc>
        <w:tc>
          <w:tcPr>
            <w:tcW w:w="415"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rsidR="004407CB" w:rsidRDefault="004407CB" w:rsidP="00726148">
            <w:pPr>
              <w:spacing w:line="252" w:lineRule="auto"/>
              <w:ind w:left="113" w:right="113"/>
              <w:jc w:val="center"/>
              <w:rPr>
                <w:b/>
                <w:sz w:val="14"/>
                <w:szCs w:val="14"/>
              </w:rPr>
            </w:pPr>
            <w:r>
              <w:rPr>
                <w:b/>
                <w:sz w:val="14"/>
                <w:szCs w:val="14"/>
              </w:rPr>
              <w:t>Total financiación anual</w:t>
            </w:r>
          </w:p>
        </w:tc>
        <w:tc>
          <w:tcPr>
            <w:tcW w:w="423"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407CB" w:rsidRDefault="004407CB" w:rsidP="00726148">
            <w:pPr>
              <w:spacing w:line="252" w:lineRule="auto"/>
              <w:ind w:left="113" w:right="113"/>
              <w:jc w:val="center"/>
              <w:rPr>
                <w:b/>
                <w:bCs/>
                <w:sz w:val="14"/>
                <w:szCs w:val="14"/>
              </w:rPr>
            </w:pPr>
            <w:r>
              <w:rPr>
                <w:b/>
                <w:bCs/>
                <w:sz w:val="14"/>
                <w:szCs w:val="14"/>
              </w:rPr>
              <w:t>Entregas a cuenta (*)</w:t>
            </w:r>
          </w:p>
        </w:tc>
        <w:tc>
          <w:tcPr>
            <w:tcW w:w="308"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407CB" w:rsidRDefault="004407CB" w:rsidP="00726148">
            <w:pPr>
              <w:spacing w:line="252" w:lineRule="auto"/>
              <w:ind w:left="113" w:right="113"/>
              <w:jc w:val="center"/>
              <w:rPr>
                <w:b/>
                <w:bCs/>
                <w:sz w:val="14"/>
                <w:szCs w:val="14"/>
              </w:rPr>
            </w:pPr>
            <w:r>
              <w:rPr>
                <w:b/>
                <w:bCs/>
                <w:sz w:val="14"/>
                <w:szCs w:val="14"/>
              </w:rPr>
              <w:t>Reintegro anticipo</w:t>
            </w:r>
          </w:p>
        </w:tc>
        <w:tc>
          <w:tcPr>
            <w:tcW w:w="372"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407CB" w:rsidRDefault="004407CB" w:rsidP="00726148">
            <w:pPr>
              <w:spacing w:line="252" w:lineRule="auto"/>
              <w:ind w:left="113" w:right="113"/>
              <w:jc w:val="center"/>
              <w:rPr>
                <w:b/>
                <w:bCs/>
                <w:sz w:val="14"/>
                <w:szCs w:val="14"/>
              </w:rPr>
            </w:pPr>
            <w:r>
              <w:rPr>
                <w:b/>
                <w:bCs/>
                <w:sz w:val="14"/>
                <w:szCs w:val="14"/>
              </w:rPr>
              <w:t>Previsión Liquidación 2017</w:t>
            </w:r>
          </w:p>
        </w:tc>
        <w:tc>
          <w:tcPr>
            <w:tcW w:w="460"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407CB" w:rsidRDefault="004407CB" w:rsidP="00726148">
            <w:pPr>
              <w:spacing w:line="252" w:lineRule="auto"/>
              <w:ind w:left="113" w:right="113"/>
              <w:jc w:val="center"/>
              <w:rPr>
                <w:b/>
                <w:bCs/>
                <w:sz w:val="14"/>
                <w:szCs w:val="14"/>
              </w:rPr>
            </w:pPr>
            <w:r>
              <w:rPr>
                <w:b/>
                <w:bCs/>
                <w:sz w:val="14"/>
                <w:szCs w:val="14"/>
              </w:rPr>
              <w:t xml:space="preserve">Total </w:t>
            </w:r>
            <w:proofErr w:type="spellStart"/>
            <w:r>
              <w:rPr>
                <w:b/>
                <w:bCs/>
                <w:sz w:val="14"/>
                <w:szCs w:val="14"/>
              </w:rPr>
              <w:t>financ</w:t>
            </w:r>
            <w:proofErr w:type="spellEnd"/>
            <w:r>
              <w:rPr>
                <w:b/>
                <w:bCs/>
                <w:sz w:val="14"/>
                <w:szCs w:val="14"/>
              </w:rPr>
              <w:t>. anual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07CB" w:rsidRDefault="004407CB" w:rsidP="00726148">
            <w:pPr>
              <w:spacing w:line="256" w:lineRule="auto"/>
              <w:rPr>
                <w:b/>
                <w:bCs/>
                <w:sz w:val="14"/>
                <w:szCs w:val="1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07CB" w:rsidRDefault="004407CB" w:rsidP="00726148">
            <w:pPr>
              <w:spacing w:line="256" w:lineRule="auto"/>
              <w:rPr>
                <w:b/>
                <w:bCs/>
                <w:sz w:val="14"/>
                <w:szCs w:val="14"/>
              </w:rPr>
            </w:pPr>
          </w:p>
        </w:tc>
        <w:tc>
          <w:tcPr>
            <w:tcW w:w="372"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407CB" w:rsidRDefault="004407CB" w:rsidP="00726148">
            <w:pPr>
              <w:spacing w:line="252" w:lineRule="auto"/>
              <w:ind w:left="113" w:right="113"/>
              <w:jc w:val="center"/>
              <w:rPr>
                <w:b/>
                <w:bCs/>
                <w:sz w:val="14"/>
                <w:szCs w:val="14"/>
              </w:rPr>
            </w:pPr>
            <w:r>
              <w:rPr>
                <w:b/>
                <w:bCs/>
                <w:sz w:val="14"/>
                <w:szCs w:val="14"/>
              </w:rPr>
              <w:t>Entregas a cuenta</w:t>
            </w:r>
          </w:p>
        </w:tc>
        <w:tc>
          <w:tcPr>
            <w:tcW w:w="400" w:type="pct"/>
            <w:tcBorders>
              <w:top w:val="single" w:sz="4" w:space="0" w:color="auto"/>
              <w:left w:val="single" w:sz="4" w:space="0" w:color="auto"/>
              <w:bottom w:val="single" w:sz="4" w:space="0" w:color="auto"/>
              <w:right w:val="single" w:sz="4" w:space="0" w:color="auto"/>
            </w:tcBorders>
            <w:shd w:val="clear" w:color="auto" w:fill="D9D9D9"/>
            <w:noWrap/>
            <w:textDirection w:val="btLr"/>
            <w:vAlign w:val="center"/>
            <w:hideMark/>
          </w:tcPr>
          <w:p w:rsidR="004407CB" w:rsidRDefault="004407CB" w:rsidP="00726148">
            <w:pPr>
              <w:spacing w:line="252" w:lineRule="auto"/>
              <w:ind w:left="113" w:right="113"/>
              <w:jc w:val="center"/>
              <w:rPr>
                <w:b/>
                <w:bCs/>
                <w:sz w:val="14"/>
                <w:szCs w:val="14"/>
              </w:rPr>
            </w:pPr>
            <w:r>
              <w:rPr>
                <w:b/>
                <w:bCs/>
                <w:sz w:val="14"/>
                <w:szCs w:val="14"/>
              </w:rPr>
              <w:t>Liquidación</w:t>
            </w:r>
          </w:p>
        </w:tc>
        <w:tc>
          <w:tcPr>
            <w:tcW w:w="341" w:type="pct"/>
            <w:tcBorders>
              <w:top w:val="single" w:sz="4" w:space="0" w:color="auto"/>
              <w:left w:val="single" w:sz="4" w:space="0" w:color="auto"/>
              <w:bottom w:val="single" w:sz="4" w:space="0" w:color="auto"/>
              <w:right w:val="single" w:sz="4" w:space="0" w:color="auto"/>
            </w:tcBorders>
            <w:shd w:val="clear" w:color="auto" w:fill="D9D9D9"/>
            <w:textDirection w:val="btLr"/>
            <w:vAlign w:val="center"/>
            <w:hideMark/>
          </w:tcPr>
          <w:p w:rsidR="004407CB" w:rsidRDefault="004407CB" w:rsidP="00726148">
            <w:pPr>
              <w:spacing w:line="252" w:lineRule="auto"/>
              <w:ind w:left="113" w:right="113"/>
              <w:jc w:val="center"/>
              <w:rPr>
                <w:b/>
                <w:bCs/>
                <w:sz w:val="14"/>
                <w:szCs w:val="14"/>
              </w:rPr>
            </w:pPr>
            <w:r>
              <w:rPr>
                <w:b/>
                <w:bCs/>
                <w:sz w:val="14"/>
                <w:szCs w:val="14"/>
              </w:rPr>
              <w:t>Financiación anual</w:t>
            </w:r>
          </w:p>
        </w:tc>
      </w:tr>
      <w:tr w:rsidR="004407CB" w:rsidTr="004407CB">
        <w:trPr>
          <w:cantSplit/>
          <w:trHeight w:val="319"/>
          <w:tblHeader/>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07CB" w:rsidRDefault="004407CB" w:rsidP="00726148">
            <w:pPr>
              <w:spacing w:line="256" w:lineRule="auto"/>
              <w:rPr>
                <w:b/>
                <w:bCs/>
                <w:sz w:val="14"/>
                <w:szCs w:val="14"/>
              </w:rPr>
            </w:pPr>
            <w:r>
              <w:rPr>
                <w:sz w:val="14"/>
                <w:szCs w:val="14"/>
              </w:rPr>
              <w:t>Murcia</w:t>
            </w:r>
          </w:p>
        </w:tc>
        <w:tc>
          <w:tcPr>
            <w:tcW w:w="374" w:type="pct"/>
            <w:tcBorders>
              <w:top w:val="single" w:sz="4" w:space="0" w:color="auto"/>
              <w:left w:val="single" w:sz="4" w:space="0" w:color="auto"/>
              <w:bottom w:val="single" w:sz="4" w:space="0" w:color="auto"/>
              <w:right w:val="single" w:sz="4" w:space="0" w:color="auto"/>
            </w:tcBorders>
            <w:noWrap/>
            <w:vAlign w:val="center"/>
            <w:hideMark/>
          </w:tcPr>
          <w:p w:rsidR="004407CB" w:rsidRDefault="004407CB" w:rsidP="00726148">
            <w:pPr>
              <w:spacing w:line="256" w:lineRule="auto"/>
              <w:jc w:val="right"/>
              <w:rPr>
                <w:bCs/>
                <w:sz w:val="14"/>
                <w:szCs w:val="14"/>
              </w:rPr>
            </w:pPr>
            <w:r>
              <w:rPr>
                <w:bCs/>
                <w:sz w:val="14"/>
                <w:szCs w:val="14"/>
              </w:rPr>
              <w:t>2.952,58</w:t>
            </w:r>
          </w:p>
        </w:tc>
        <w:tc>
          <w:tcPr>
            <w:tcW w:w="322" w:type="pct"/>
            <w:tcBorders>
              <w:top w:val="single" w:sz="4" w:space="0" w:color="auto"/>
              <w:left w:val="single" w:sz="4" w:space="0" w:color="auto"/>
              <w:bottom w:val="single" w:sz="4" w:space="0" w:color="auto"/>
              <w:right w:val="single" w:sz="4" w:space="0" w:color="auto"/>
            </w:tcBorders>
            <w:noWrap/>
            <w:vAlign w:val="center"/>
            <w:hideMark/>
          </w:tcPr>
          <w:p w:rsidR="004407CB" w:rsidRDefault="004407CB" w:rsidP="00726148">
            <w:pPr>
              <w:spacing w:line="256" w:lineRule="auto"/>
              <w:jc w:val="right"/>
              <w:rPr>
                <w:bCs/>
                <w:sz w:val="14"/>
                <w:szCs w:val="14"/>
              </w:rPr>
            </w:pPr>
            <w:r>
              <w:rPr>
                <w:bCs/>
                <w:sz w:val="14"/>
                <w:szCs w:val="14"/>
              </w:rPr>
              <w:t>-29,25</w:t>
            </w: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4407CB" w:rsidRDefault="004407CB" w:rsidP="00726148">
            <w:pPr>
              <w:spacing w:line="256" w:lineRule="auto"/>
              <w:jc w:val="right"/>
              <w:rPr>
                <w:bCs/>
                <w:sz w:val="14"/>
                <w:szCs w:val="14"/>
              </w:rPr>
            </w:pPr>
            <w:r>
              <w:rPr>
                <w:bCs/>
                <w:sz w:val="14"/>
                <w:szCs w:val="14"/>
              </w:rPr>
              <w:t>283,70</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4407CB" w:rsidRDefault="004407CB" w:rsidP="00726148">
            <w:pPr>
              <w:spacing w:line="256" w:lineRule="auto"/>
              <w:jc w:val="right"/>
              <w:rPr>
                <w:bCs/>
                <w:sz w:val="14"/>
                <w:szCs w:val="14"/>
              </w:rPr>
            </w:pPr>
            <w:r>
              <w:rPr>
                <w:bCs/>
                <w:sz w:val="14"/>
                <w:szCs w:val="14"/>
              </w:rPr>
              <w:t>3.207,03</w:t>
            </w:r>
          </w:p>
        </w:tc>
        <w:tc>
          <w:tcPr>
            <w:tcW w:w="423" w:type="pct"/>
            <w:tcBorders>
              <w:top w:val="single" w:sz="4" w:space="0" w:color="auto"/>
              <w:left w:val="single" w:sz="4" w:space="0" w:color="auto"/>
              <w:bottom w:val="single" w:sz="4" w:space="0" w:color="auto"/>
              <w:right w:val="single" w:sz="4" w:space="0" w:color="auto"/>
            </w:tcBorders>
            <w:vAlign w:val="center"/>
            <w:hideMark/>
          </w:tcPr>
          <w:p w:rsidR="004407CB" w:rsidRDefault="004407CB" w:rsidP="00726148">
            <w:pPr>
              <w:spacing w:line="256" w:lineRule="auto"/>
              <w:jc w:val="center"/>
              <w:rPr>
                <w:sz w:val="14"/>
                <w:szCs w:val="14"/>
              </w:rPr>
            </w:pPr>
            <w:r>
              <w:rPr>
                <w:sz w:val="14"/>
                <w:szCs w:val="14"/>
              </w:rPr>
              <w:t>3.236,88</w:t>
            </w:r>
          </w:p>
        </w:tc>
        <w:tc>
          <w:tcPr>
            <w:tcW w:w="308" w:type="pct"/>
            <w:tcBorders>
              <w:top w:val="single" w:sz="4" w:space="0" w:color="auto"/>
              <w:left w:val="single" w:sz="4" w:space="0" w:color="auto"/>
              <w:bottom w:val="single" w:sz="4" w:space="0" w:color="auto"/>
              <w:right w:val="single" w:sz="4" w:space="0" w:color="auto"/>
            </w:tcBorders>
            <w:vAlign w:val="center"/>
            <w:hideMark/>
          </w:tcPr>
          <w:p w:rsidR="004407CB" w:rsidRDefault="004407CB" w:rsidP="00726148">
            <w:pPr>
              <w:spacing w:line="256" w:lineRule="auto"/>
              <w:jc w:val="center"/>
              <w:rPr>
                <w:sz w:val="14"/>
                <w:szCs w:val="14"/>
              </w:rPr>
            </w:pPr>
            <w:r>
              <w:rPr>
                <w:sz w:val="14"/>
                <w:szCs w:val="14"/>
              </w:rPr>
              <w:t>-29,25</w:t>
            </w:r>
          </w:p>
        </w:tc>
        <w:tc>
          <w:tcPr>
            <w:tcW w:w="372" w:type="pct"/>
            <w:tcBorders>
              <w:top w:val="single" w:sz="4" w:space="0" w:color="auto"/>
              <w:left w:val="single" w:sz="4" w:space="0" w:color="auto"/>
              <w:bottom w:val="single" w:sz="4" w:space="0" w:color="auto"/>
              <w:right w:val="single" w:sz="4" w:space="0" w:color="auto"/>
            </w:tcBorders>
            <w:vAlign w:val="center"/>
            <w:hideMark/>
          </w:tcPr>
          <w:p w:rsidR="004407CB" w:rsidRDefault="004407CB" w:rsidP="00726148">
            <w:pPr>
              <w:spacing w:line="256" w:lineRule="auto"/>
              <w:jc w:val="center"/>
              <w:rPr>
                <w:sz w:val="14"/>
                <w:szCs w:val="14"/>
              </w:rPr>
            </w:pPr>
            <w:r>
              <w:rPr>
                <w:sz w:val="14"/>
                <w:szCs w:val="14"/>
              </w:rPr>
              <w:t>208,03</w:t>
            </w:r>
          </w:p>
        </w:tc>
        <w:tc>
          <w:tcPr>
            <w:tcW w:w="460" w:type="pct"/>
            <w:tcBorders>
              <w:top w:val="single" w:sz="4" w:space="0" w:color="auto"/>
              <w:left w:val="single" w:sz="4" w:space="0" w:color="auto"/>
              <w:bottom w:val="single" w:sz="4" w:space="0" w:color="auto"/>
              <w:right w:val="single" w:sz="4" w:space="0" w:color="auto"/>
            </w:tcBorders>
            <w:vAlign w:val="center"/>
            <w:hideMark/>
          </w:tcPr>
          <w:p w:rsidR="004407CB" w:rsidRDefault="004407CB" w:rsidP="00726148">
            <w:pPr>
              <w:spacing w:line="256" w:lineRule="auto"/>
              <w:jc w:val="center"/>
              <w:rPr>
                <w:sz w:val="14"/>
                <w:szCs w:val="14"/>
              </w:rPr>
            </w:pPr>
            <w:r>
              <w:rPr>
                <w:sz w:val="14"/>
                <w:szCs w:val="14"/>
              </w:rPr>
              <w:t>3.415,66</w:t>
            </w:r>
          </w:p>
        </w:tc>
        <w:tc>
          <w:tcPr>
            <w:tcW w:w="290" w:type="pct"/>
            <w:tcBorders>
              <w:top w:val="single" w:sz="4" w:space="0" w:color="auto"/>
              <w:left w:val="single" w:sz="4" w:space="0" w:color="auto"/>
              <w:bottom w:val="single" w:sz="4" w:space="0" w:color="auto"/>
              <w:right w:val="single" w:sz="4" w:space="0" w:color="auto"/>
            </w:tcBorders>
            <w:vAlign w:val="center"/>
            <w:hideMark/>
          </w:tcPr>
          <w:p w:rsidR="004407CB" w:rsidRDefault="004407CB" w:rsidP="00726148">
            <w:pPr>
              <w:spacing w:line="256" w:lineRule="auto"/>
              <w:jc w:val="center"/>
              <w:rPr>
                <w:sz w:val="14"/>
                <w:szCs w:val="14"/>
              </w:rPr>
            </w:pPr>
            <w:r>
              <w:rPr>
                <w:sz w:val="14"/>
                <w:szCs w:val="14"/>
              </w:rPr>
              <w:t>9,63%</w:t>
            </w:r>
          </w:p>
        </w:tc>
        <w:tc>
          <w:tcPr>
            <w:tcW w:w="291" w:type="pct"/>
            <w:tcBorders>
              <w:top w:val="single" w:sz="4" w:space="0" w:color="auto"/>
              <w:left w:val="single" w:sz="4" w:space="0" w:color="auto"/>
              <w:bottom w:val="single" w:sz="4" w:space="0" w:color="auto"/>
              <w:right w:val="single" w:sz="4" w:space="0" w:color="auto"/>
            </w:tcBorders>
            <w:vAlign w:val="center"/>
            <w:hideMark/>
          </w:tcPr>
          <w:p w:rsidR="004407CB" w:rsidRDefault="004407CB" w:rsidP="00726148">
            <w:pPr>
              <w:spacing w:line="256" w:lineRule="auto"/>
              <w:jc w:val="center"/>
              <w:rPr>
                <w:sz w:val="14"/>
                <w:szCs w:val="14"/>
              </w:rPr>
            </w:pPr>
            <w:r>
              <w:rPr>
                <w:sz w:val="14"/>
                <w:szCs w:val="14"/>
              </w:rPr>
              <w:t>6,51%</w:t>
            </w:r>
          </w:p>
        </w:tc>
        <w:tc>
          <w:tcPr>
            <w:tcW w:w="372" w:type="pct"/>
            <w:tcBorders>
              <w:top w:val="single" w:sz="4" w:space="0" w:color="auto"/>
              <w:left w:val="single" w:sz="4" w:space="0" w:color="auto"/>
              <w:bottom w:val="single" w:sz="4" w:space="0" w:color="auto"/>
              <w:right w:val="single" w:sz="4" w:space="0" w:color="auto"/>
            </w:tcBorders>
            <w:vAlign w:val="center"/>
            <w:hideMark/>
          </w:tcPr>
          <w:p w:rsidR="004407CB" w:rsidRDefault="004407CB" w:rsidP="00726148">
            <w:pPr>
              <w:spacing w:line="256" w:lineRule="auto"/>
              <w:jc w:val="center"/>
              <w:rPr>
                <w:sz w:val="14"/>
                <w:szCs w:val="14"/>
              </w:rPr>
            </w:pPr>
            <w:r>
              <w:rPr>
                <w:sz w:val="14"/>
                <w:szCs w:val="14"/>
              </w:rPr>
              <w:t>284,30</w:t>
            </w:r>
          </w:p>
        </w:tc>
        <w:tc>
          <w:tcPr>
            <w:tcW w:w="400" w:type="pct"/>
            <w:tcBorders>
              <w:top w:val="single" w:sz="4" w:space="0" w:color="auto"/>
              <w:left w:val="single" w:sz="4" w:space="0" w:color="auto"/>
              <w:bottom w:val="single" w:sz="4" w:space="0" w:color="auto"/>
              <w:right w:val="single" w:sz="4" w:space="0" w:color="auto"/>
            </w:tcBorders>
            <w:noWrap/>
            <w:vAlign w:val="center"/>
            <w:hideMark/>
          </w:tcPr>
          <w:p w:rsidR="004407CB" w:rsidRDefault="004407CB" w:rsidP="00726148">
            <w:pPr>
              <w:spacing w:line="256" w:lineRule="auto"/>
              <w:jc w:val="center"/>
              <w:rPr>
                <w:sz w:val="14"/>
                <w:szCs w:val="14"/>
              </w:rPr>
            </w:pPr>
            <w:r>
              <w:rPr>
                <w:sz w:val="14"/>
                <w:szCs w:val="14"/>
              </w:rPr>
              <w:t>-75,67</w:t>
            </w:r>
          </w:p>
        </w:tc>
        <w:tc>
          <w:tcPr>
            <w:tcW w:w="341" w:type="pct"/>
            <w:tcBorders>
              <w:top w:val="single" w:sz="4" w:space="0" w:color="auto"/>
              <w:left w:val="single" w:sz="4" w:space="0" w:color="auto"/>
              <w:bottom w:val="single" w:sz="4" w:space="0" w:color="auto"/>
              <w:right w:val="single" w:sz="4" w:space="0" w:color="auto"/>
            </w:tcBorders>
            <w:noWrap/>
            <w:vAlign w:val="center"/>
            <w:hideMark/>
          </w:tcPr>
          <w:p w:rsidR="004407CB" w:rsidRDefault="004407CB" w:rsidP="00726148">
            <w:pPr>
              <w:spacing w:line="256" w:lineRule="auto"/>
              <w:jc w:val="center"/>
              <w:rPr>
                <w:sz w:val="14"/>
                <w:szCs w:val="14"/>
              </w:rPr>
            </w:pPr>
            <w:r>
              <w:rPr>
                <w:sz w:val="14"/>
                <w:szCs w:val="14"/>
              </w:rPr>
              <w:t>208,64</w:t>
            </w:r>
          </w:p>
        </w:tc>
      </w:tr>
      <w:tr w:rsidR="004407CB" w:rsidTr="004407CB">
        <w:trPr>
          <w:cantSplit/>
          <w:trHeight w:val="319"/>
          <w:tblHeader/>
        </w:trPr>
        <w:tc>
          <w:tcPr>
            <w:tcW w:w="285"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407CB" w:rsidRDefault="004407CB" w:rsidP="00726148">
            <w:pPr>
              <w:spacing w:line="252" w:lineRule="auto"/>
              <w:rPr>
                <w:b/>
                <w:bCs/>
                <w:sz w:val="14"/>
                <w:szCs w:val="14"/>
              </w:rPr>
            </w:pPr>
            <w:r>
              <w:rPr>
                <w:b/>
                <w:bCs/>
                <w:sz w:val="14"/>
                <w:szCs w:val="14"/>
              </w:rPr>
              <w:t>Total</w:t>
            </w:r>
          </w:p>
        </w:tc>
        <w:tc>
          <w:tcPr>
            <w:tcW w:w="374" w:type="pct"/>
            <w:tcBorders>
              <w:top w:val="single" w:sz="4" w:space="0" w:color="auto"/>
              <w:left w:val="single" w:sz="4" w:space="0" w:color="auto"/>
              <w:bottom w:val="single" w:sz="4" w:space="0" w:color="auto"/>
              <w:right w:val="single" w:sz="4" w:space="0" w:color="auto"/>
            </w:tcBorders>
            <w:noWrap/>
            <w:vAlign w:val="center"/>
            <w:hideMark/>
          </w:tcPr>
          <w:p w:rsidR="004407CB" w:rsidRDefault="004407CB" w:rsidP="00726148">
            <w:pPr>
              <w:spacing w:line="252" w:lineRule="auto"/>
              <w:jc w:val="right"/>
              <w:rPr>
                <w:b/>
                <w:sz w:val="14"/>
                <w:szCs w:val="14"/>
              </w:rPr>
            </w:pPr>
            <w:r>
              <w:rPr>
                <w:b/>
                <w:sz w:val="14"/>
                <w:szCs w:val="14"/>
              </w:rPr>
              <w:t>95.919,45</w:t>
            </w:r>
          </w:p>
        </w:tc>
        <w:tc>
          <w:tcPr>
            <w:tcW w:w="322" w:type="pct"/>
            <w:tcBorders>
              <w:top w:val="single" w:sz="4" w:space="0" w:color="auto"/>
              <w:left w:val="single" w:sz="4" w:space="0" w:color="auto"/>
              <w:bottom w:val="single" w:sz="4" w:space="0" w:color="auto"/>
              <w:right w:val="single" w:sz="4" w:space="0" w:color="auto"/>
            </w:tcBorders>
            <w:noWrap/>
            <w:vAlign w:val="center"/>
            <w:hideMark/>
          </w:tcPr>
          <w:p w:rsidR="004407CB" w:rsidRDefault="004407CB" w:rsidP="00726148">
            <w:pPr>
              <w:spacing w:line="252" w:lineRule="auto"/>
              <w:jc w:val="right"/>
              <w:rPr>
                <w:b/>
                <w:sz w:val="14"/>
                <w:szCs w:val="14"/>
              </w:rPr>
            </w:pPr>
            <w:r>
              <w:rPr>
                <w:b/>
                <w:sz w:val="14"/>
                <w:szCs w:val="14"/>
              </w:rPr>
              <w:t>-936,83</w:t>
            </w:r>
          </w:p>
        </w:tc>
        <w:tc>
          <w:tcPr>
            <w:tcW w:w="347" w:type="pct"/>
            <w:tcBorders>
              <w:top w:val="single" w:sz="4" w:space="0" w:color="auto"/>
              <w:left w:val="single" w:sz="4" w:space="0" w:color="auto"/>
              <w:bottom w:val="single" w:sz="4" w:space="0" w:color="auto"/>
              <w:right w:val="single" w:sz="4" w:space="0" w:color="auto"/>
            </w:tcBorders>
            <w:noWrap/>
            <w:vAlign w:val="center"/>
            <w:hideMark/>
          </w:tcPr>
          <w:p w:rsidR="004407CB" w:rsidRDefault="004407CB" w:rsidP="00726148">
            <w:pPr>
              <w:spacing w:line="252" w:lineRule="auto"/>
              <w:jc w:val="right"/>
              <w:rPr>
                <w:b/>
                <w:sz w:val="14"/>
                <w:szCs w:val="14"/>
              </w:rPr>
            </w:pPr>
            <w:r>
              <w:rPr>
                <w:b/>
                <w:sz w:val="14"/>
                <w:szCs w:val="14"/>
              </w:rPr>
              <w:t>8.834,60</w:t>
            </w:r>
          </w:p>
        </w:tc>
        <w:tc>
          <w:tcPr>
            <w:tcW w:w="415" w:type="pct"/>
            <w:tcBorders>
              <w:top w:val="single" w:sz="4" w:space="0" w:color="auto"/>
              <w:left w:val="single" w:sz="4" w:space="0" w:color="auto"/>
              <w:bottom w:val="single" w:sz="4" w:space="0" w:color="auto"/>
              <w:right w:val="single" w:sz="4" w:space="0" w:color="auto"/>
            </w:tcBorders>
            <w:noWrap/>
            <w:vAlign w:val="center"/>
            <w:hideMark/>
          </w:tcPr>
          <w:p w:rsidR="004407CB" w:rsidRDefault="004407CB" w:rsidP="00726148">
            <w:pPr>
              <w:spacing w:line="252" w:lineRule="auto"/>
              <w:jc w:val="right"/>
              <w:rPr>
                <w:b/>
                <w:sz w:val="14"/>
                <w:szCs w:val="14"/>
              </w:rPr>
            </w:pPr>
            <w:r>
              <w:rPr>
                <w:b/>
                <w:sz w:val="14"/>
                <w:szCs w:val="14"/>
              </w:rPr>
              <w:t>103.817,22</w:t>
            </w:r>
          </w:p>
        </w:tc>
        <w:tc>
          <w:tcPr>
            <w:tcW w:w="423" w:type="pct"/>
            <w:tcBorders>
              <w:top w:val="single" w:sz="4" w:space="0" w:color="auto"/>
              <w:left w:val="single" w:sz="4" w:space="0" w:color="auto"/>
              <w:bottom w:val="single" w:sz="4" w:space="0" w:color="auto"/>
              <w:right w:val="single" w:sz="4" w:space="0" w:color="auto"/>
            </w:tcBorders>
            <w:vAlign w:val="center"/>
            <w:hideMark/>
          </w:tcPr>
          <w:p w:rsidR="004407CB" w:rsidRDefault="004407CB" w:rsidP="00726148">
            <w:pPr>
              <w:spacing w:line="256" w:lineRule="auto"/>
              <w:jc w:val="center"/>
              <w:rPr>
                <w:b/>
                <w:bCs/>
                <w:sz w:val="14"/>
                <w:szCs w:val="14"/>
              </w:rPr>
            </w:pPr>
            <w:r>
              <w:rPr>
                <w:b/>
                <w:bCs/>
                <w:sz w:val="14"/>
                <w:szCs w:val="14"/>
              </w:rPr>
              <w:t>105.214,83</w:t>
            </w:r>
          </w:p>
        </w:tc>
        <w:tc>
          <w:tcPr>
            <w:tcW w:w="308" w:type="pct"/>
            <w:tcBorders>
              <w:top w:val="single" w:sz="4" w:space="0" w:color="auto"/>
              <w:left w:val="single" w:sz="4" w:space="0" w:color="auto"/>
              <w:bottom w:val="single" w:sz="4" w:space="0" w:color="auto"/>
              <w:right w:val="single" w:sz="4" w:space="0" w:color="auto"/>
            </w:tcBorders>
            <w:vAlign w:val="center"/>
            <w:hideMark/>
          </w:tcPr>
          <w:p w:rsidR="004407CB" w:rsidRDefault="004407CB" w:rsidP="00726148">
            <w:pPr>
              <w:spacing w:line="256" w:lineRule="auto"/>
              <w:jc w:val="center"/>
              <w:rPr>
                <w:b/>
                <w:bCs/>
                <w:sz w:val="14"/>
                <w:szCs w:val="14"/>
              </w:rPr>
            </w:pPr>
            <w:r>
              <w:rPr>
                <w:b/>
                <w:bCs/>
                <w:sz w:val="14"/>
                <w:szCs w:val="14"/>
              </w:rPr>
              <w:t>-936,83</w:t>
            </w:r>
          </w:p>
        </w:tc>
        <w:tc>
          <w:tcPr>
            <w:tcW w:w="372" w:type="pct"/>
            <w:tcBorders>
              <w:top w:val="single" w:sz="4" w:space="0" w:color="auto"/>
              <w:left w:val="single" w:sz="4" w:space="0" w:color="auto"/>
              <w:bottom w:val="single" w:sz="4" w:space="0" w:color="auto"/>
              <w:right w:val="single" w:sz="4" w:space="0" w:color="auto"/>
            </w:tcBorders>
            <w:vAlign w:val="center"/>
            <w:hideMark/>
          </w:tcPr>
          <w:p w:rsidR="004407CB" w:rsidRDefault="004407CB" w:rsidP="00726148">
            <w:pPr>
              <w:spacing w:line="256" w:lineRule="auto"/>
              <w:jc w:val="center"/>
              <w:rPr>
                <w:b/>
                <w:bCs/>
                <w:sz w:val="14"/>
                <w:szCs w:val="14"/>
              </w:rPr>
            </w:pPr>
            <w:r>
              <w:rPr>
                <w:b/>
                <w:bCs/>
                <w:sz w:val="14"/>
                <w:szCs w:val="14"/>
              </w:rPr>
              <w:t>6.059,85</w:t>
            </w:r>
          </w:p>
        </w:tc>
        <w:tc>
          <w:tcPr>
            <w:tcW w:w="460" w:type="pct"/>
            <w:tcBorders>
              <w:top w:val="single" w:sz="4" w:space="0" w:color="auto"/>
              <w:left w:val="single" w:sz="4" w:space="0" w:color="auto"/>
              <w:bottom w:val="single" w:sz="4" w:space="0" w:color="auto"/>
              <w:right w:val="single" w:sz="4" w:space="0" w:color="auto"/>
            </w:tcBorders>
            <w:vAlign w:val="center"/>
            <w:hideMark/>
          </w:tcPr>
          <w:p w:rsidR="004407CB" w:rsidRDefault="004407CB" w:rsidP="00726148">
            <w:pPr>
              <w:spacing w:line="256" w:lineRule="auto"/>
              <w:jc w:val="center"/>
              <w:rPr>
                <w:b/>
                <w:bCs/>
                <w:sz w:val="14"/>
                <w:szCs w:val="14"/>
              </w:rPr>
            </w:pPr>
            <w:r>
              <w:rPr>
                <w:b/>
                <w:bCs/>
                <w:sz w:val="14"/>
                <w:szCs w:val="14"/>
              </w:rPr>
              <w:t>110.337,84</w:t>
            </w:r>
          </w:p>
        </w:tc>
        <w:tc>
          <w:tcPr>
            <w:tcW w:w="290" w:type="pct"/>
            <w:tcBorders>
              <w:top w:val="single" w:sz="4" w:space="0" w:color="auto"/>
              <w:left w:val="single" w:sz="4" w:space="0" w:color="auto"/>
              <w:bottom w:val="single" w:sz="4" w:space="0" w:color="auto"/>
              <w:right w:val="single" w:sz="4" w:space="0" w:color="auto"/>
            </w:tcBorders>
            <w:vAlign w:val="center"/>
            <w:hideMark/>
          </w:tcPr>
          <w:p w:rsidR="004407CB" w:rsidRDefault="004407CB" w:rsidP="00726148">
            <w:pPr>
              <w:spacing w:line="256" w:lineRule="auto"/>
              <w:jc w:val="center"/>
              <w:rPr>
                <w:b/>
                <w:bCs/>
                <w:sz w:val="14"/>
                <w:szCs w:val="14"/>
              </w:rPr>
            </w:pPr>
            <w:r>
              <w:rPr>
                <w:b/>
                <w:bCs/>
                <w:sz w:val="14"/>
                <w:szCs w:val="14"/>
              </w:rPr>
              <w:t>9,69%</w:t>
            </w:r>
          </w:p>
        </w:tc>
        <w:tc>
          <w:tcPr>
            <w:tcW w:w="291" w:type="pct"/>
            <w:tcBorders>
              <w:top w:val="single" w:sz="4" w:space="0" w:color="auto"/>
              <w:left w:val="single" w:sz="4" w:space="0" w:color="auto"/>
              <w:bottom w:val="single" w:sz="4" w:space="0" w:color="auto"/>
              <w:right w:val="single" w:sz="4" w:space="0" w:color="auto"/>
            </w:tcBorders>
            <w:vAlign w:val="center"/>
            <w:hideMark/>
          </w:tcPr>
          <w:p w:rsidR="004407CB" w:rsidRDefault="004407CB" w:rsidP="00726148">
            <w:pPr>
              <w:spacing w:line="256" w:lineRule="auto"/>
              <w:jc w:val="center"/>
              <w:rPr>
                <w:b/>
                <w:bCs/>
                <w:sz w:val="14"/>
                <w:szCs w:val="14"/>
              </w:rPr>
            </w:pPr>
            <w:r>
              <w:rPr>
                <w:b/>
                <w:bCs/>
                <w:sz w:val="14"/>
                <w:szCs w:val="14"/>
              </w:rPr>
              <w:t>6,28%</w:t>
            </w:r>
          </w:p>
        </w:tc>
        <w:tc>
          <w:tcPr>
            <w:tcW w:w="372" w:type="pct"/>
            <w:tcBorders>
              <w:top w:val="single" w:sz="4" w:space="0" w:color="auto"/>
              <w:left w:val="single" w:sz="4" w:space="0" w:color="auto"/>
              <w:bottom w:val="single" w:sz="4" w:space="0" w:color="auto"/>
              <w:right w:val="single" w:sz="4" w:space="0" w:color="auto"/>
            </w:tcBorders>
            <w:vAlign w:val="center"/>
            <w:hideMark/>
          </w:tcPr>
          <w:p w:rsidR="004407CB" w:rsidRDefault="004407CB" w:rsidP="00726148">
            <w:pPr>
              <w:spacing w:line="256" w:lineRule="auto"/>
              <w:jc w:val="center"/>
              <w:rPr>
                <w:b/>
                <w:bCs/>
                <w:sz w:val="14"/>
                <w:szCs w:val="14"/>
              </w:rPr>
            </w:pPr>
            <w:r>
              <w:rPr>
                <w:b/>
                <w:bCs/>
                <w:sz w:val="14"/>
                <w:szCs w:val="14"/>
              </w:rPr>
              <w:t>9.295,38</w:t>
            </w:r>
          </w:p>
        </w:tc>
        <w:tc>
          <w:tcPr>
            <w:tcW w:w="400" w:type="pct"/>
            <w:tcBorders>
              <w:top w:val="single" w:sz="4" w:space="0" w:color="auto"/>
              <w:left w:val="single" w:sz="4" w:space="0" w:color="auto"/>
              <w:bottom w:val="single" w:sz="4" w:space="0" w:color="auto"/>
              <w:right w:val="single" w:sz="4" w:space="0" w:color="auto"/>
            </w:tcBorders>
            <w:noWrap/>
            <w:vAlign w:val="center"/>
            <w:hideMark/>
          </w:tcPr>
          <w:p w:rsidR="004407CB" w:rsidRDefault="004407CB" w:rsidP="00726148">
            <w:pPr>
              <w:spacing w:line="256" w:lineRule="auto"/>
              <w:jc w:val="center"/>
              <w:rPr>
                <w:b/>
                <w:bCs/>
                <w:sz w:val="14"/>
                <w:szCs w:val="14"/>
              </w:rPr>
            </w:pPr>
            <w:r>
              <w:rPr>
                <w:b/>
                <w:bCs/>
                <w:sz w:val="14"/>
                <w:szCs w:val="14"/>
              </w:rPr>
              <w:t>-2.774,75</w:t>
            </w:r>
          </w:p>
        </w:tc>
        <w:tc>
          <w:tcPr>
            <w:tcW w:w="341" w:type="pct"/>
            <w:tcBorders>
              <w:top w:val="single" w:sz="4" w:space="0" w:color="auto"/>
              <w:left w:val="single" w:sz="4" w:space="0" w:color="auto"/>
              <w:bottom w:val="single" w:sz="4" w:space="0" w:color="auto"/>
              <w:right w:val="single" w:sz="4" w:space="0" w:color="auto"/>
            </w:tcBorders>
            <w:noWrap/>
            <w:vAlign w:val="center"/>
            <w:hideMark/>
          </w:tcPr>
          <w:p w:rsidR="004407CB" w:rsidRDefault="004407CB" w:rsidP="00726148">
            <w:pPr>
              <w:spacing w:line="256" w:lineRule="auto"/>
              <w:jc w:val="center"/>
              <w:rPr>
                <w:b/>
                <w:bCs/>
                <w:sz w:val="14"/>
                <w:szCs w:val="14"/>
              </w:rPr>
            </w:pPr>
            <w:r>
              <w:rPr>
                <w:b/>
                <w:bCs/>
                <w:sz w:val="14"/>
                <w:szCs w:val="14"/>
              </w:rPr>
              <w:t>6.520,62</w:t>
            </w:r>
          </w:p>
        </w:tc>
      </w:tr>
    </w:tbl>
    <w:p w:rsidR="004407CB" w:rsidRDefault="004407CB" w:rsidP="004407CB">
      <w:pPr>
        <w:ind w:left="3060"/>
        <w:rPr>
          <w:sz w:val="16"/>
        </w:rPr>
      </w:pPr>
      <w:r>
        <w:rPr>
          <w:sz w:val="16"/>
        </w:rPr>
        <w:t>(*) Incluye integración I.H. Autonómico</w:t>
      </w:r>
    </w:p>
    <w:p w:rsidR="004407CB" w:rsidRDefault="004407CB" w:rsidP="004407CB">
      <w:pPr>
        <w:spacing w:line="340" w:lineRule="atLeast"/>
        <w:ind w:left="3060"/>
        <w:jc w:val="both"/>
        <w:rPr>
          <w:szCs w:val="24"/>
        </w:rPr>
      </w:pPr>
    </w:p>
    <w:p w:rsidR="004407CB" w:rsidRDefault="004407CB" w:rsidP="004407CB">
      <w:pPr>
        <w:spacing w:after="160" w:line="259" w:lineRule="auto"/>
        <w:rPr>
          <w:b/>
          <w:u w:val="single"/>
        </w:rPr>
      </w:pPr>
    </w:p>
    <w:p w:rsidR="004407CB" w:rsidRDefault="004407CB" w:rsidP="004407CB">
      <w:pPr>
        <w:spacing w:after="160" w:line="259" w:lineRule="auto"/>
        <w:ind w:left="2550" w:firstLine="255"/>
      </w:pPr>
      <w:r w:rsidRPr="004407CB">
        <w:rPr>
          <w:b/>
          <w:u w:val="single"/>
        </w:rPr>
        <w:t>Retribuciones del personal al servicio del sector público</w:t>
      </w:r>
      <w:r w:rsidRPr="004407CB">
        <w:t>:</w:t>
      </w:r>
    </w:p>
    <w:p w:rsidR="004407CB" w:rsidRPr="004407CB" w:rsidRDefault="004407CB" w:rsidP="004407CB">
      <w:pPr>
        <w:spacing w:after="160" w:line="259" w:lineRule="auto"/>
        <w:ind w:left="1701"/>
      </w:pPr>
      <w:r w:rsidRPr="00253DAF">
        <w:rPr>
          <w:b/>
          <w:szCs w:val="24"/>
          <w:u w:val="single"/>
        </w:rPr>
        <w:t>Incremento del 2,25 %</w:t>
      </w:r>
      <w:r>
        <w:rPr>
          <w:szCs w:val="24"/>
        </w:rPr>
        <w:t xml:space="preserve"> </w:t>
      </w:r>
      <w:r w:rsidRPr="00253DAF">
        <w:rPr>
          <w:szCs w:val="24"/>
        </w:rPr>
        <w:t>respecto a las vigentes a 31 de diciembre de 2018</w:t>
      </w:r>
      <w:r>
        <w:rPr>
          <w:szCs w:val="24"/>
        </w:rPr>
        <w:t>.</w:t>
      </w:r>
    </w:p>
    <w:p w:rsidR="004407CB" w:rsidRPr="00253DAF" w:rsidRDefault="004407CB" w:rsidP="004407CB">
      <w:pPr>
        <w:ind w:left="1701"/>
        <w:jc w:val="both"/>
        <w:rPr>
          <w:szCs w:val="24"/>
        </w:rPr>
      </w:pPr>
      <w:r>
        <w:rPr>
          <w:szCs w:val="24"/>
        </w:rPr>
        <w:t xml:space="preserve">Además, </w:t>
      </w:r>
      <w:r w:rsidRPr="00253DAF">
        <w:rPr>
          <w:szCs w:val="24"/>
        </w:rPr>
        <w:t xml:space="preserve">si el incremento del Producto Interior Bruto (PIB) a precios constantes en 2018 alcanzara o superase el 2,5 por ciento se añadiría, con efectos de 1 de julio de 2019, </w:t>
      </w:r>
      <w:r w:rsidRPr="00253DAF">
        <w:rPr>
          <w:b/>
          <w:szCs w:val="24"/>
          <w:u w:val="single"/>
        </w:rPr>
        <w:t>otro 0,25 por ciento de incremento salarial</w:t>
      </w:r>
      <w:r w:rsidRPr="00253DAF">
        <w:rPr>
          <w:szCs w:val="24"/>
        </w:rPr>
        <w:t>. Para un crecimiento inferior al 2,5 por ciento señalado, el incremento disminuirá proporcionalmente en función de la reducción que se haya producido sobre dicho 2,5 por ciento, de manera que los incrementos resultantes serán:</w:t>
      </w:r>
    </w:p>
    <w:p w:rsidR="004407CB" w:rsidRPr="00253DAF" w:rsidRDefault="004407CB" w:rsidP="004407CB">
      <w:pPr>
        <w:ind w:left="3060"/>
        <w:jc w:val="both"/>
        <w:rPr>
          <w:szCs w:val="24"/>
        </w:rPr>
      </w:pPr>
      <w:r w:rsidRPr="00253DAF">
        <w:rPr>
          <w:szCs w:val="24"/>
        </w:rPr>
        <w:t>PIB igual a 2,1………….2</w:t>
      </w:r>
      <w:proofErr w:type="gramStart"/>
      <w:r w:rsidRPr="00253DAF">
        <w:rPr>
          <w:szCs w:val="24"/>
        </w:rPr>
        <w:t>,30</w:t>
      </w:r>
      <w:proofErr w:type="gramEnd"/>
      <w:r w:rsidRPr="00253DAF">
        <w:rPr>
          <w:szCs w:val="24"/>
        </w:rPr>
        <w:t xml:space="preserve"> %</w:t>
      </w:r>
    </w:p>
    <w:p w:rsidR="004407CB" w:rsidRPr="00253DAF" w:rsidRDefault="004407CB" w:rsidP="004407CB">
      <w:pPr>
        <w:ind w:left="3060"/>
        <w:jc w:val="both"/>
        <w:rPr>
          <w:szCs w:val="24"/>
        </w:rPr>
      </w:pPr>
      <w:r w:rsidRPr="00253DAF">
        <w:rPr>
          <w:szCs w:val="24"/>
        </w:rPr>
        <w:t>PIB igual a 2,2………….2</w:t>
      </w:r>
      <w:proofErr w:type="gramStart"/>
      <w:r w:rsidRPr="00253DAF">
        <w:rPr>
          <w:szCs w:val="24"/>
        </w:rPr>
        <w:t>,35</w:t>
      </w:r>
      <w:proofErr w:type="gramEnd"/>
      <w:r w:rsidRPr="00253DAF">
        <w:rPr>
          <w:szCs w:val="24"/>
        </w:rPr>
        <w:t xml:space="preserve"> %</w:t>
      </w:r>
    </w:p>
    <w:p w:rsidR="004407CB" w:rsidRPr="00253DAF" w:rsidRDefault="004407CB" w:rsidP="004407CB">
      <w:pPr>
        <w:ind w:left="3060"/>
        <w:jc w:val="both"/>
        <w:rPr>
          <w:szCs w:val="24"/>
        </w:rPr>
      </w:pPr>
      <w:r w:rsidRPr="00253DAF">
        <w:rPr>
          <w:szCs w:val="24"/>
        </w:rPr>
        <w:t>PIB igual a 2,3………….2</w:t>
      </w:r>
      <w:proofErr w:type="gramStart"/>
      <w:r w:rsidRPr="00253DAF">
        <w:rPr>
          <w:szCs w:val="24"/>
        </w:rPr>
        <w:t>,40</w:t>
      </w:r>
      <w:proofErr w:type="gramEnd"/>
      <w:r w:rsidRPr="00253DAF">
        <w:rPr>
          <w:szCs w:val="24"/>
        </w:rPr>
        <w:t xml:space="preserve"> %</w:t>
      </w:r>
    </w:p>
    <w:p w:rsidR="004407CB" w:rsidRPr="00253DAF" w:rsidRDefault="004407CB" w:rsidP="004407CB">
      <w:pPr>
        <w:ind w:left="3060"/>
        <w:jc w:val="both"/>
        <w:rPr>
          <w:szCs w:val="24"/>
        </w:rPr>
      </w:pPr>
      <w:r w:rsidRPr="00253DAF">
        <w:rPr>
          <w:szCs w:val="24"/>
        </w:rPr>
        <w:t>PIB igual a 2,4…………..2,45 %</w:t>
      </w:r>
    </w:p>
    <w:p w:rsidR="004407CB" w:rsidRDefault="004407CB" w:rsidP="004407CB">
      <w:pPr>
        <w:jc w:val="both"/>
        <w:rPr>
          <w:szCs w:val="24"/>
        </w:rPr>
      </w:pPr>
    </w:p>
    <w:p w:rsidR="004407CB" w:rsidRDefault="004407CB" w:rsidP="004407CB">
      <w:pPr>
        <w:ind w:left="1701"/>
        <w:jc w:val="both"/>
        <w:rPr>
          <w:szCs w:val="24"/>
        </w:rPr>
      </w:pPr>
      <w:r w:rsidRPr="00253DAF">
        <w:rPr>
          <w:szCs w:val="24"/>
        </w:rPr>
        <w:t xml:space="preserve">Además, </w:t>
      </w:r>
      <w:r w:rsidRPr="00253DAF">
        <w:rPr>
          <w:b/>
          <w:szCs w:val="24"/>
          <w:u w:val="single"/>
        </w:rPr>
        <w:t>se podrá autorizar un incremento adicional del 0,25 por ciento de la masa salarial</w:t>
      </w:r>
      <w:r w:rsidRPr="00253DAF">
        <w:rPr>
          <w:szCs w:val="24"/>
        </w:rPr>
        <w:t xml:space="preserve"> para, entre otras medidas, la implantación de planes o proyectos de mejora de la productividad o la eficiencia, la revisión de </w:t>
      </w:r>
      <w:r w:rsidRPr="00253DAF">
        <w:rPr>
          <w:szCs w:val="24"/>
        </w:rPr>
        <w:lastRenderedPageBreak/>
        <w:t xml:space="preserve">complementos específicos entre puestos con funciones equiparables, la homologación de complementos de destino o la aportación a planes de pensiones. </w:t>
      </w:r>
    </w:p>
    <w:p w:rsidR="004407CB" w:rsidRDefault="004407CB" w:rsidP="004407CB">
      <w:pPr>
        <w:ind w:left="1701"/>
        <w:jc w:val="both"/>
        <w:rPr>
          <w:szCs w:val="24"/>
        </w:rPr>
      </w:pPr>
      <w:r w:rsidRPr="00253DAF">
        <w:rPr>
          <w:b/>
          <w:szCs w:val="24"/>
          <w:u w:val="single"/>
        </w:rPr>
        <w:t>En las Administraciones y resto de entidades del sector público definido en este artículo en situación de superávit presupuestario en el ejercicio 2018, este incremento adicional podrá alcanzar el 0,3 por ciento</w:t>
      </w:r>
      <w:r w:rsidRPr="00253DAF">
        <w:rPr>
          <w:szCs w:val="24"/>
        </w:rPr>
        <w:t>.</w:t>
      </w:r>
    </w:p>
    <w:p w:rsidR="004407CB" w:rsidRDefault="004407CB" w:rsidP="004407CB">
      <w:pPr>
        <w:ind w:left="3060"/>
        <w:jc w:val="both"/>
        <w:rPr>
          <w:szCs w:val="24"/>
        </w:rPr>
      </w:pPr>
    </w:p>
    <w:p w:rsidR="004407CB" w:rsidRPr="00253DAF" w:rsidRDefault="004407CB" w:rsidP="004407CB">
      <w:pPr>
        <w:pStyle w:val="Prrafodelista"/>
        <w:numPr>
          <w:ilvl w:val="0"/>
          <w:numId w:val="49"/>
        </w:numPr>
        <w:spacing w:after="160" w:line="259" w:lineRule="auto"/>
        <w:ind w:left="3780"/>
        <w:jc w:val="both"/>
        <w:rPr>
          <w:rFonts w:ascii="Arial" w:hAnsi="Arial" w:cs="Arial"/>
          <w:b/>
          <w:u w:val="single"/>
        </w:rPr>
      </w:pPr>
      <w:r w:rsidRPr="00253DAF">
        <w:rPr>
          <w:rFonts w:ascii="Arial" w:hAnsi="Arial" w:cs="Arial"/>
          <w:b/>
          <w:u w:val="single"/>
        </w:rPr>
        <w:t>Tasa de reposición:</w:t>
      </w:r>
    </w:p>
    <w:p w:rsidR="004407CB" w:rsidRDefault="004407CB" w:rsidP="004407CB">
      <w:pPr>
        <w:ind w:left="1701"/>
        <w:jc w:val="both"/>
        <w:rPr>
          <w:szCs w:val="24"/>
        </w:rPr>
      </w:pPr>
      <w:r>
        <w:rPr>
          <w:szCs w:val="24"/>
        </w:rPr>
        <w:t>Si Murcia cumpliera con el objetivo de estabilidad y la regla del gasto</w:t>
      </w:r>
      <w:r w:rsidRPr="00253DAF">
        <w:rPr>
          <w:szCs w:val="24"/>
        </w:rPr>
        <w:t>, tendrá una tasa de reposición del 100</w:t>
      </w:r>
      <w:r>
        <w:rPr>
          <w:szCs w:val="24"/>
        </w:rPr>
        <w:t>%</w:t>
      </w:r>
      <w:r w:rsidRPr="00253DAF">
        <w:rPr>
          <w:szCs w:val="24"/>
        </w:rPr>
        <w:t xml:space="preserve">. </w:t>
      </w:r>
    </w:p>
    <w:p w:rsidR="004407CB" w:rsidRDefault="004407CB" w:rsidP="004407CB">
      <w:pPr>
        <w:ind w:left="1701"/>
        <w:jc w:val="both"/>
        <w:rPr>
          <w:szCs w:val="24"/>
        </w:rPr>
      </w:pPr>
    </w:p>
    <w:p w:rsidR="004407CB" w:rsidRDefault="004407CB" w:rsidP="004407CB">
      <w:pPr>
        <w:ind w:left="1701"/>
        <w:jc w:val="both"/>
        <w:rPr>
          <w:szCs w:val="24"/>
        </w:rPr>
      </w:pPr>
      <w:r>
        <w:rPr>
          <w:szCs w:val="24"/>
        </w:rPr>
        <w:t>Adicionalmente, podrá</w:t>
      </w:r>
      <w:r w:rsidRPr="00253DAF">
        <w:rPr>
          <w:szCs w:val="24"/>
        </w:rPr>
        <w:t xml:space="preserve"> disponer de una tasa del 8</w:t>
      </w:r>
      <w:r>
        <w:rPr>
          <w:szCs w:val="24"/>
        </w:rPr>
        <w:t xml:space="preserve">% </w:t>
      </w:r>
      <w:r w:rsidRPr="00253DAF">
        <w:rPr>
          <w:szCs w:val="24"/>
        </w:rPr>
        <w:t>destinada a aquellos ámbitos o sectores que requieran un refuerzo de efectivos</w:t>
      </w:r>
      <w:r>
        <w:rPr>
          <w:szCs w:val="24"/>
        </w:rPr>
        <w:t>. En caso contrario será del 75%.</w:t>
      </w:r>
    </w:p>
    <w:p w:rsidR="004407CB" w:rsidRDefault="004407CB" w:rsidP="004407CB">
      <w:pPr>
        <w:ind w:left="1701"/>
        <w:jc w:val="both"/>
        <w:rPr>
          <w:szCs w:val="24"/>
        </w:rPr>
      </w:pPr>
    </w:p>
    <w:p w:rsidR="004407CB" w:rsidRDefault="004407CB" w:rsidP="004407CB">
      <w:pPr>
        <w:ind w:left="1701"/>
        <w:jc w:val="both"/>
        <w:rPr>
          <w:szCs w:val="24"/>
        </w:rPr>
      </w:pPr>
      <w:r>
        <w:rPr>
          <w:szCs w:val="24"/>
        </w:rPr>
        <w:t xml:space="preserve">En los </w:t>
      </w:r>
      <w:r w:rsidRPr="001E0BB9">
        <w:rPr>
          <w:szCs w:val="24"/>
          <w:u w:val="single"/>
        </w:rPr>
        <w:t>Cuerpos de Policía Autonómica y Policías Locales</w:t>
      </w:r>
      <w:r w:rsidRPr="00253DAF">
        <w:rPr>
          <w:szCs w:val="24"/>
        </w:rPr>
        <w:t xml:space="preserve"> la tasa de reposición será d</w:t>
      </w:r>
      <w:r>
        <w:rPr>
          <w:szCs w:val="24"/>
        </w:rPr>
        <w:t>el 115%.</w:t>
      </w:r>
    </w:p>
    <w:p w:rsidR="004407CB" w:rsidRDefault="004407CB" w:rsidP="004407CB">
      <w:pPr>
        <w:ind w:left="1701"/>
        <w:jc w:val="both"/>
        <w:rPr>
          <w:szCs w:val="24"/>
        </w:rPr>
      </w:pPr>
    </w:p>
    <w:p w:rsidR="004407CB" w:rsidRDefault="004407CB" w:rsidP="004407CB">
      <w:pPr>
        <w:ind w:left="1701"/>
        <w:jc w:val="both"/>
        <w:rPr>
          <w:szCs w:val="24"/>
        </w:rPr>
      </w:pPr>
      <w:r w:rsidRPr="00253DAF">
        <w:rPr>
          <w:szCs w:val="24"/>
        </w:rPr>
        <w:t xml:space="preserve">Se autoriza una </w:t>
      </w:r>
      <w:r w:rsidRPr="001E0BB9">
        <w:rPr>
          <w:szCs w:val="24"/>
          <w:u w:val="single"/>
        </w:rPr>
        <w:t>tasa de reposición adicional del 5% para todos los municipios</w:t>
      </w:r>
      <w:r w:rsidRPr="00253DAF">
        <w:rPr>
          <w:szCs w:val="24"/>
        </w:rPr>
        <w:t xml:space="preserve"> que, en alguno de los ejercicios del período 2013 a 2018, hayan tenido la </w:t>
      </w:r>
      <w:r w:rsidRPr="001E0BB9">
        <w:rPr>
          <w:szCs w:val="24"/>
          <w:u w:val="single"/>
        </w:rPr>
        <w:t>obligación legal de prestar un mayor número de servicios públicos</w:t>
      </w:r>
      <w:r>
        <w:rPr>
          <w:szCs w:val="24"/>
        </w:rPr>
        <w:t>.</w:t>
      </w:r>
    </w:p>
    <w:p w:rsidR="004407CB" w:rsidRDefault="004407CB" w:rsidP="004407CB">
      <w:pPr>
        <w:ind w:left="1701"/>
        <w:jc w:val="both"/>
        <w:rPr>
          <w:szCs w:val="24"/>
        </w:rPr>
      </w:pPr>
    </w:p>
    <w:p w:rsidR="004407CB" w:rsidRDefault="004407CB" w:rsidP="004407CB">
      <w:pPr>
        <w:ind w:left="1701"/>
        <w:jc w:val="both"/>
        <w:rPr>
          <w:szCs w:val="24"/>
        </w:rPr>
      </w:pPr>
      <w:r w:rsidRPr="001E0BB9">
        <w:rPr>
          <w:szCs w:val="24"/>
          <w:u w:val="single"/>
        </w:rPr>
        <w:t>Puestos de trabajo reservados a los funcionarios de Administración local con habilitación de carácter nacional</w:t>
      </w:r>
      <w:r w:rsidRPr="00253DAF">
        <w:rPr>
          <w:szCs w:val="24"/>
        </w:rPr>
        <w:t xml:space="preserve"> se autoriza una </w:t>
      </w:r>
      <w:r>
        <w:rPr>
          <w:szCs w:val="24"/>
        </w:rPr>
        <w:t xml:space="preserve">oferta adicional de hasta un 30% </w:t>
      </w:r>
      <w:r w:rsidRPr="00253DAF">
        <w:rPr>
          <w:szCs w:val="24"/>
        </w:rPr>
        <w:t>de las plazas dotadas presupue</w:t>
      </w:r>
      <w:r>
        <w:rPr>
          <w:szCs w:val="24"/>
        </w:rPr>
        <w:t>stariamente que estén vacantes.</w:t>
      </w:r>
    </w:p>
    <w:p w:rsidR="004407CB" w:rsidRDefault="004407CB" w:rsidP="004407CB">
      <w:pPr>
        <w:ind w:left="1701"/>
        <w:jc w:val="both"/>
        <w:rPr>
          <w:szCs w:val="24"/>
          <w:u w:val="single"/>
        </w:rPr>
      </w:pPr>
    </w:p>
    <w:p w:rsidR="004407CB" w:rsidRDefault="004407CB" w:rsidP="004407CB">
      <w:pPr>
        <w:ind w:left="1701"/>
        <w:jc w:val="both"/>
        <w:rPr>
          <w:szCs w:val="24"/>
        </w:rPr>
      </w:pPr>
      <w:r w:rsidRPr="001E0BB9">
        <w:rPr>
          <w:szCs w:val="24"/>
          <w:u w:val="single"/>
        </w:rPr>
        <w:t>Las Entidades Locales podrán disponer durante 2019, exclusivamente para los policías locales</w:t>
      </w:r>
      <w:r w:rsidRPr="00253DAF">
        <w:rPr>
          <w:szCs w:val="24"/>
        </w:rPr>
        <w:t xml:space="preserve">, de una tasa adicional de reposición determinada por el número de bajas que se prevean en este ejercicio y en el ejercicio 2020 como consecuencia del anticipo de la edad de jubilación de este colectivo. </w:t>
      </w:r>
    </w:p>
    <w:p w:rsidR="004407CB" w:rsidRDefault="004407CB" w:rsidP="004407CB">
      <w:pPr>
        <w:ind w:left="1701"/>
        <w:jc w:val="both"/>
        <w:rPr>
          <w:szCs w:val="24"/>
        </w:rPr>
      </w:pPr>
    </w:p>
    <w:p w:rsidR="004407CB" w:rsidRDefault="004407CB" w:rsidP="004407CB">
      <w:pPr>
        <w:ind w:left="1701"/>
        <w:jc w:val="both"/>
        <w:rPr>
          <w:szCs w:val="24"/>
        </w:rPr>
      </w:pPr>
      <w:r w:rsidRPr="00253DAF">
        <w:rPr>
          <w:szCs w:val="24"/>
        </w:rPr>
        <w:t xml:space="preserve">Las Entidades Locales que en el ejercicio anterior hayan cumplido los objetivos de estabilidad presupuestaria, deuda pública, regla de gasto y tuvieran amortizada su deuda financiera, </w:t>
      </w:r>
      <w:r w:rsidRPr="001E0BB9">
        <w:rPr>
          <w:szCs w:val="24"/>
          <w:u w:val="single"/>
        </w:rPr>
        <w:t>podrán disponer de una tasa de reposición del 5%</w:t>
      </w:r>
    </w:p>
    <w:p w:rsidR="004407CB" w:rsidRDefault="004407CB" w:rsidP="004407CB">
      <w:pPr>
        <w:ind w:left="1701"/>
        <w:jc w:val="both"/>
        <w:rPr>
          <w:szCs w:val="24"/>
        </w:rPr>
      </w:pPr>
    </w:p>
    <w:p w:rsidR="004407CB" w:rsidRDefault="004407CB" w:rsidP="004407CB">
      <w:pPr>
        <w:ind w:left="1701"/>
        <w:jc w:val="both"/>
        <w:rPr>
          <w:b/>
          <w:u w:val="single"/>
        </w:rPr>
      </w:pPr>
    </w:p>
    <w:p w:rsidR="004407CB" w:rsidRDefault="004407CB" w:rsidP="004407CB">
      <w:pPr>
        <w:ind w:left="1701"/>
        <w:jc w:val="both"/>
        <w:rPr>
          <w:b/>
          <w:u w:val="single"/>
        </w:rPr>
      </w:pPr>
    </w:p>
    <w:p w:rsidR="004407CB" w:rsidRDefault="004407CB" w:rsidP="004407CB">
      <w:pPr>
        <w:ind w:left="1701"/>
        <w:jc w:val="both"/>
        <w:rPr>
          <w:b/>
          <w:u w:val="single"/>
        </w:rPr>
      </w:pPr>
    </w:p>
    <w:p w:rsidR="004407CB" w:rsidRDefault="004407CB" w:rsidP="004407CB">
      <w:pPr>
        <w:ind w:left="1701"/>
        <w:jc w:val="both"/>
        <w:rPr>
          <w:b/>
          <w:u w:val="single"/>
        </w:rPr>
      </w:pPr>
    </w:p>
    <w:p w:rsidR="004407CB" w:rsidRDefault="004407CB" w:rsidP="004407CB">
      <w:pPr>
        <w:ind w:left="1701"/>
        <w:jc w:val="both"/>
        <w:rPr>
          <w:b/>
          <w:u w:val="single"/>
        </w:rPr>
      </w:pPr>
    </w:p>
    <w:p w:rsidR="004407CB" w:rsidRDefault="004407CB" w:rsidP="004407CB">
      <w:pPr>
        <w:ind w:left="1701"/>
        <w:jc w:val="both"/>
        <w:rPr>
          <w:b/>
          <w:u w:val="single"/>
        </w:rPr>
      </w:pPr>
    </w:p>
    <w:p w:rsidR="004407CB" w:rsidRDefault="004407CB" w:rsidP="004407CB">
      <w:pPr>
        <w:ind w:left="1701"/>
        <w:jc w:val="both"/>
        <w:rPr>
          <w:szCs w:val="24"/>
        </w:rPr>
      </w:pPr>
      <w:r w:rsidRPr="004407CB">
        <w:rPr>
          <w:b/>
          <w:u w:val="single"/>
        </w:rPr>
        <w:t>Bonificación para empresas dedicadas al sector turístico que mantengan el alta de los traba</w:t>
      </w:r>
      <w:bookmarkStart w:id="1" w:name="_GoBack"/>
      <w:bookmarkEnd w:id="1"/>
      <w:r w:rsidRPr="004407CB">
        <w:rPr>
          <w:b/>
          <w:u w:val="single"/>
        </w:rPr>
        <w:t>jadores</w:t>
      </w:r>
      <w:r w:rsidRPr="004407CB">
        <w:t>:</w:t>
      </w:r>
    </w:p>
    <w:p w:rsidR="004407CB" w:rsidRDefault="004407CB" w:rsidP="004407CB">
      <w:pPr>
        <w:ind w:left="1701"/>
        <w:jc w:val="both"/>
        <w:rPr>
          <w:szCs w:val="24"/>
        </w:rPr>
      </w:pPr>
    </w:p>
    <w:p w:rsidR="004407CB" w:rsidRDefault="004407CB" w:rsidP="004407CB">
      <w:pPr>
        <w:ind w:left="1701"/>
        <w:jc w:val="both"/>
        <w:rPr>
          <w:szCs w:val="24"/>
        </w:rPr>
      </w:pPr>
      <w:r w:rsidRPr="001E0BB9">
        <w:rPr>
          <w:szCs w:val="24"/>
        </w:rPr>
        <w:t xml:space="preserve">Las empresas, excluidas las pertenecientes al sector público, dedicadas a actividades encuadradas en los sectores de turismo, así como los de comercio y hostelería, siempre que se encuentren vinculados a dicho sector del turismo, </w:t>
      </w:r>
      <w:r w:rsidRPr="001E0BB9">
        <w:rPr>
          <w:szCs w:val="24"/>
          <w:u w:val="single"/>
        </w:rPr>
        <w:t>que generen actividad productiva en los meses de febrero, marzo y de noviembre de cada año y que inicien y/o mantengan en alta durante dichos meses la ocupación de los trabajadores con contratos de carácter fijo discontinuo, podrán aplicar una bonificación en dichos meses del 50 por ciento de las cuotas empresariales a la Seguridad Social por contingencias comunes, así como por los conceptos de recaudación conjunta de Desempleo, FOGASA y Formación Profesional de dichos trabajadores</w:t>
      </w:r>
      <w:r w:rsidRPr="001E0BB9">
        <w:rPr>
          <w:szCs w:val="24"/>
        </w:rPr>
        <w:t>.</w:t>
      </w:r>
    </w:p>
    <w:p w:rsidR="004407CB" w:rsidRDefault="004407CB" w:rsidP="004407CB">
      <w:pPr>
        <w:ind w:left="1701"/>
        <w:jc w:val="both"/>
        <w:rPr>
          <w:szCs w:val="24"/>
        </w:rPr>
      </w:pPr>
    </w:p>
    <w:p w:rsidR="00BB3CD0" w:rsidRPr="004407CB" w:rsidRDefault="004407CB" w:rsidP="004407CB">
      <w:pPr>
        <w:ind w:left="1701"/>
        <w:jc w:val="both"/>
        <w:rPr>
          <w:szCs w:val="24"/>
        </w:rPr>
      </w:pPr>
      <w:r w:rsidRPr="00B55643">
        <w:rPr>
          <w:szCs w:val="24"/>
        </w:rPr>
        <w:t xml:space="preserve">A </w:t>
      </w:r>
      <w:r w:rsidRPr="00B55643">
        <w:rPr>
          <w:b/>
          <w:szCs w:val="24"/>
          <w:u w:val="single"/>
        </w:rPr>
        <w:t>Lorca se le concede una bonificación del 50 por ciento de las cuotas del Impuesto sobre Bienes Inmuebles</w:t>
      </w:r>
      <w:r w:rsidRPr="00B55643">
        <w:rPr>
          <w:szCs w:val="24"/>
        </w:rPr>
        <w:t xml:space="preserve"> correspondientes al ejercicio 2019.</w:t>
      </w:r>
      <w:r>
        <w:rPr>
          <w:szCs w:val="24"/>
        </w:rPr>
        <w:t xml:space="preserve"> La disminución de ingresos que se </w:t>
      </w:r>
      <w:r w:rsidRPr="00B55643">
        <w:rPr>
          <w:szCs w:val="24"/>
        </w:rPr>
        <w:t>produzca en el Ayuntamiento de Lorca será compensada con cargo a los Presupuestos Genera</w:t>
      </w:r>
      <w:r w:rsidR="00903767">
        <w:rPr>
          <w:szCs w:val="24"/>
        </w:rPr>
        <w:t>les del Estado.</w:t>
      </w:r>
    </w:p>
    <w:sectPr w:rsidR="00BB3CD0" w:rsidRPr="004407CB" w:rsidSect="00C57B47">
      <w:headerReference w:type="default" r:id="rId9"/>
      <w:footerReference w:type="even" r:id="rId10"/>
      <w:footerReference w:type="default" r:id="rId11"/>
      <w:headerReference w:type="first" r:id="rId12"/>
      <w:footerReference w:type="first" r:id="rId13"/>
      <w:type w:val="continuous"/>
      <w:pgSz w:w="11906" w:h="16838" w:code="9"/>
      <w:pgMar w:top="675" w:right="1276" w:bottom="726" w:left="340" w:header="284" w:footer="561" w:gutter="0"/>
      <w:pgNumType w:chapStyle="1" w:chapSep="e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CD0" w:rsidRDefault="00BB3CD0">
      <w:r>
        <w:separator/>
      </w:r>
    </w:p>
  </w:endnote>
  <w:endnote w:type="continuationSeparator" w:id="0">
    <w:p w:rsidR="00BB3CD0" w:rsidRDefault="00BB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D0" w:rsidRDefault="00BB3CD0">
    <w:pPr>
      <w:pStyle w:val="Piedepgina"/>
      <w:framePr w:wrap="around" w:vAnchor="text" w:hAnchor="margin" w:xAlign="center" w:y="1"/>
      <w:rPr>
        <w:rStyle w:val="Nmerodepgina"/>
        <w:rFonts w:cs="Arial"/>
      </w:rPr>
    </w:pPr>
    <w:r>
      <w:rPr>
        <w:rStyle w:val="Nmerodepgina"/>
        <w:rFonts w:cs="Arial"/>
      </w:rPr>
      <w:fldChar w:fldCharType="begin"/>
    </w:r>
    <w:r>
      <w:rPr>
        <w:rStyle w:val="Nmerodepgina"/>
        <w:rFonts w:cs="Arial"/>
      </w:rPr>
      <w:instrText xml:space="preserve">PAGE  </w:instrText>
    </w:r>
    <w:r>
      <w:rPr>
        <w:rStyle w:val="Nmerodepgina"/>
        <w:rFonts w:cs="Arial"/>
      </w:rPr>
      <w:fldChar w:fldCharType="separate"/>
    </w:r>
    <w:r>
      <w:rPr>
        <w:rStyle w:val="Nmerodepgina"/>
        <w:rFonts w:cs="Arial"/>
        <w:noProof/>
      </w:rPr>
      <w:t>2</w:t>
    </w:r>
    <w:r>
      <w:rPr>
        <w:rStyle w:val="Nmerodepgina"/>
        <w:rFonts w:cs="Arial"/>
      </w:rPr>
      <w:fldChar w:fldCharType="end"/>
    </w:r>
  </w:p>
  <w:p w:rsidR="00BB3CD0" w:rsidRDefault="00BB3C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BB3CD0" w:rsidTr="00794CA0">
      <w:trPr>
        <w:trHeight w:val="791"/>
      </w:trPr>
      <w:tc>
        <w:tcPr>
          <w:tcW w:w="3756" w:type="dxa"/>
          <w:shd w:val="clear" w:color="auto" w:fill="auto"/>
        </w:tcPr>
        <w:p w:rsidR="00BB3CD0" w:rsidRPr="00B4210F" w:rsidRDefault="00BB3CD0" w:rsidP="00794CA0">
          <w:r>
            <w:rPr>
              <w:noProof/>
            </w:rPr>
            <w:drawing>
              <wp:inline distT="0" distB="0" distL="0" distR="0" wp14:anchorId="6100A24C" wp14:editId="705F1C8A">
                <wp:extent cx="390525" cy="371475"/>
                <wp:effectExtent l="0" t="0" r="9525" b="9525"/>
                <wp:docPr id="10" name="Imagen 10"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0BD6DFA9" wp14:editId="4D4EFDBB">
                <wp:extent cx="685800" cy="371475"/>
                <wp:effectExtent l="0" t="0" r="0" b="9525"/>
                <wp:docPr id="9" name="Imagen 9"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6A68D6A2" wp14:editId="52FEEDAD">
                <wp:extent cx="590550" cy="371475"/>
                <wp:effectExtent l="0" t="0" r="0" b="9525"/>
                <wp:docPr id="8" name="Imagen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BB3CD0" w:rsidRPr="00082C3A" w:rsidRDefault="00BB3CD0" w:rsidP="00794CA0">
          <w:pPr>
            <w:rPr>
              <w:sz w:val="18"/>
              <w:szCs w:val="18"/>
            </w:rPr>
          </w:pPr>
        </w:p>
        <w:p w:rsidR="00BB3CD0" w:rsidRPr="00082C3A" w:rsidRDefault="00BB3CD0"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BB3CD0" w:rsidRPr="00082C3A" w:rsidRDefault="00BB3CD0" w:rsidP="00794CA0">
          <w:pPr>
            <w:rPr>
              <w:sz w:val="18"/>
              <w:szCs w:val="18"/>
            </w:rPr>
          </w:pPr>
        </w:p>
      </w:tc>
    </w:tr>
  </w:tbl>
  <w:p w:rsidR="00BB3CD0" w:rsidRDefault="00BB3CD0"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BB3CD0" w:rsidTr="00794CA0">
      <w:trPr>
        <w:cantSplit/>
        <w:trHeight w:val="120"/>
      </w:trPr>
      <w:tc>
        <w:tcPr>
          <w:tcW w:w="2693" w:type="dxa"/>
          <w:tcBorders>
            <w:top w:val="nil"/>
            <w:left w:val="nil"/>
            <w:bottom w:val="nil"/>
            <w:right w:val="nil"/>
          </w:tcBorders>
          <w:vAlign w:val="center"/>
        </w:tcPr>
        <w:p w:rsidR="00BB3CD0" w:rsidRDefault="00BB3CD0"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BB3CD0" w:rsidRPr="00B74E5B" w:rsidRDefault="00BB3CD0"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BB3CD0" w:rsidRDefault="00BB3CD0" w:rsidP="00794CA0">
          <w:pPr>
            <w:spacing w:line="180" w:lineRule="atLeast"/>
            <w:rPr>
              <w:rFonts w:ascii="Arial Narrow" w:hAnsi="Arial Narrow"/>
              <w:sz w:val="10"/>
            </w:rPr>
          </w:pPr>
        </w:p>
      </w:tc>
      <w:tc>
        <w:tcPr>
          <w:tcW w:w="6096" w:type="dxa"/>
          <w:tcBorders>
            <w:top w:val="nil"/>
            <w:left w:val="nil"/>
            <w:bottom w:val="nil"/>
            <w:right w:val="nil"/>
          </w:tcBorders>
        </w:tcPr>
        <w:p w:rsidR="00BB3CD0" w:rsidRDefault="00BB3CD0" w:rsidP="00794CA0">
          <w:pPr>
            <w:jc w:val="center"/>
            <w:rPr>
              <w:rFonts w:ascii="Arial Narrow" w:hAnsi="Arial Narrow"/>
              <w:sz w:val="18"/>
            </w:rPr>
          </w:pPr>
        </w:p>
        <w:p w:rsidR="00BB3CD0" w:rsidRDefault="00BB3CD0"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BB3CD0" w:rsidRDefault="00BB3CD0"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BB3CD0" w:rsidRDefault="00BB3CD0" w:rsidP="00794CA0">
          <w:pPr>
            <w:spacing w:before="120"/>
            <w:ind w:left="72"/>
            <w:jc w:val="both"/>
            <w:rPr>
              <w:rFonts w:ascii="Gill Sans MT" w:hAnsi="Gill Sans MT"/>
              <w:sz w:val="10"/>
            </w:rPr>
          </w:pPr>
          <w:r>
            <w:rPr>
              <w:rFonts w:ascii="Gill Sans MT" w:hAnsi="Gill Sans MT"/>
              <w:sz w:val="10"/>
            </w:rPr>
            <w:t>AVENIDA TENIENTE FLOMESTA, S/N</w:t>
          </w:r>
        </w:p>
        <w:p w:rsidR="00BB3CD0" w:rsidRDefault="00BB3CD0" w:rsidP="00794CA0">
          <w:pPr>
            <w:ind w:left="72"/>
            <w:jc w:val="both"/>
            <w:rPr>
              <w:rFonts w:ascii="Gill Sans MT" w:hAnsi="Gill Sans MT"/>
              <w:sz w:val="10"/>
            </w:rPr>
          </w:pPr>
          <w:r>
            <w:rPr>
              <w:rFonts w:ascii="Gill Sans MT" w:hAnsi="Gill Sans MT"/>
              <w:sz w:val="10"/>
            </w:rPr>
            <w:t>30.071 MURCIA</w:t>
          </w:r>
        </w:p>
        <w:p w:rsidR="00BB3CD0" w:rsidRDefault="00BB3CD0" w:rsidP="00794CA0">
          <w:pPr>
            <w:ind w:left="72"/>
            <w:jc w:val="both"/>
            <w:rPr>
              <w:rFonts w:ascii="Gill Sans MT" w:hAnsi="Gill Sans MT"/>
              <w:sz w:val="10"/>
            </w:rPr>
          </w:pPr>
          <w:r>
            <w:rPr>
              <w:rFonts w:ascii="Gill Sans MT" w:hAnsi="Gill Sans MT"/>
              <w:sz w:val="10"/>
            </w:rPr>
            <w:t>TEL: 968 989 108 / 968 989 107</w:t>
          </w:r>
        </w:p>
        <w:p w:rsidR="00BB3CD0" w:rsidRDefault="00BB3CD0" w:rsidP="00794CA0">
          <w:pPr>
            <w:spacing w:after="120"/>
            <w:ind w:left="74"/>
          </w:pPr>
        </w:p>
      </w:tc>
    </w:tr>
    <w:tr w:rsidR="00BB3CD0" w:rsidTr="00794CA0">
      <w:trPr>
        <w:cantSplit/>
        <w:trHeight w:val="120"/>
      </w:trPr>
      <w:tc>
        <w:tcPr>
          <w:tcW w:w="2693" w:type="dxa"/>
          <w:tcBorders>
            <w:top w:val="nil"/>
            <w:left w:val="nil"/>
            <w:bottom w:val="nil"/>
            <w:right w:val="nil"/>
          </w:tcBorders>
        </w:tcPr>
        <w:p w:rsidR="00BB3CD0" w:rsidRDefault="00BB3CD0"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903767">
            <w:rPr>
              <w:noProof/>
              <w:sz w:val="20"/>
            </w:rPr>
            <w:t>7</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903767">
            <w:rPr>
              <w:noProof/>
              <w:sz w:val="20"/>
            </w:rPr>
            <w:t>8</w:t>
          </w:r>
          <w:r>
            <w:rPr>
              <w:sz w:val="20"/>
            </w:rPr>
            <w:fldChar w:fldCharType="end"/>
          </w:r>
        </w:p>
      </w:tc>
      <w:tc>
        <w:tcPr>
          <w:tcW w:w="6096" w:type="dxa"/>
          <w:tcBorders>
            <w:top w:val="nil"/>
            <w:left w:val="nil"/>
            <w:bottom w:val="nil"/>
            <w:right w:val="nil"/>
          </w:tcBorders>
        </w:tcPr>
        <w:p w:rsidR="00BB3CD0" w:rsidRDefault="00C418F1" w:rsidP="00794CA0">
          <w:pPr>
            <w:jc w:val="center"/>
            <w:rPr>
              <w:rFonts w:ascii="Arial Narrow" w:hAnsi="Arial Narrow"/>
              <w:b/>
              <w:bCs/>
              <w:sz w:val="16"/>
            </w:rPr>
          </w:pPr>
          <w:hyperlink r:id="rId5" w:history="1">
            <w:r w:rsidR="00BB3CD0" w:rsidRPr="00030D12">
              <w:rPr>
                <w:rStyle w:val="Hipervnculo"/>
                <w:rFonts w:ascii="Arial Narrow" w:hAnsi="Arial Narrow" w:cs="Arial"/>
                <w:b/>
                <w:bCs/>
                <w:sz w:val="16"/>
              </w:rPr>
              <w:t>http://www.seat.mpr.es/portal/delegaciones_gobierno/delegaciones/murcia/actualidad/notas_de_prensa.html</w:t>
            </w:r>
          </w:hyperlink>
        </w:p>
        <w:p w:rsidR="00BB3CD0" w:rsidRPr="00A20B1E" w:rsidRDefault="00BB3CD0" w:rsidP="00794CA0">
          <w:pPr>
            <w:jc w:val="center"/>
            <w:rPr>
              <w:rFonts w:ascii="Arial Narrow" w:hAnsi="Arial Narrow"/>
              <w:b/>
              <w:bCs/>
              <w:sz w:val="22"/>
            </w:rPr>
          </w:pPr>
        </w:p>
      </w:tc>
      <w:tc>
        <w:tcPr>
          <w:tcW w:w="2409" w:type="dxa"/>
          <w:vMerge/>
          <w:tcBorders>
            <w:bottom w:val="nil"/>
            <w:right w:val="nil"/>
          </w:tcBorders>
        </w:tcPr>
        <w:p w:rsidR="00BB3CD0" w:rsidRDefault="00BB3CD0" w:rsidP="00794CA0"/>
      </w:tc>
    </w:tr>
  </w:tbl>
  <w:p w:rsidR="00BB3CD0" w:rsidRPr="005A20F6" w:rsidRDefault="00BB3CD0" w:rsidP="005A20F6">
    <w:pPr>
      <w:pStyle w:val="Piedepgina"/>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756" w:type="dxa"/>
      <w:tblInd w:w="3966" w:type="dxa"/>
      <w:tblLook w:val="04A0" w:firstRow="1" w:lastRow="0" w:firstColumn="1" w:lastColumn="0" w:noHBand="0" w:noVBand="1"/>
    </w:tblPr>
    <w:tblGrid>
      <w:gridCol w:w="3756"/>
    </w:tblGrid>
    <w:tr w:rsidR="00BB3CD0" w:rsidTr="00794CA0">
      <w:trPr>
        <w:trHeight w:val="791"/>
      </w:trPr>
      <w:tc>
        <w:tcPr>
          <w:tcW w:w="3756" w:type="dxa"/>
          <w:shd w:val="clear" w:color="auto" w:fill="auto"/>
        </w:tcPr>
        <w:p w:rsidR="00BB3CD0" w:rsidRPr="00B4210F" w:rsidRDefault="00BB3CD0" w:rsidP="00794CA0">
          <w:r>
            <w:rPr>
              <w:noProof/>
            </w:rPr>
            <w:drawing>
              <wp:inline distT="0" distB="0" distL="0" distR="0" wp14:anchorId="3C0C603B" wp14:editId="41D4964B">
                <wp:extent cx="390525" cy="371475"/>
                <wp:effectExtent l="0" t="0" r="9525" b="9525"/>
                <wp:docPr id="7" name="Imagen 7"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525" cy="371475"/>
                        </a:xfrm>
                        <a:prstGeom prst="rect">
                          <a:avLst/>
                        </a:prstGeom>
                        <a:noFill/>
                        <a:ln>
                          <a:noFill/>
                        </a:ln>
                      </pic:spPr>
                    </pic:pic>
                  </a:graphicData>
                </a:graphic>
              </wp:inline>
            </w:drawing>
          </w:r>
          <w:r>
            <w:t xml:space="preserve">  </w:t>
          </w:r>
          <w:r>
            <w:rPr>
              <w:noProof/>
            </w:rPr>
            <w:drawing>
              <wp:inline distT="0" distB="0" distL="0" distR="0" wp14:anchorId="13969371" wp14:editId="12A30183">
                <wp:extent cx="685800" cy="371475"/>
                <wp:effectExtent l="0" t="0" r="0" b="9525"/>
                <wp:docPr id="6" name="Imagen 6" descr="twii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i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371475"/>
                        </a:xfrm>
                        <a:prstGeom prst="rect">
                          <a:avLst/>
                        </a:prstGeom>
                        <a:noFill/>
                        <a:ln>
                          <a:noFill/>
                        </a:ln>
                      </pic:spPr>
                    </pic:pic>
                  </a:graphicData>
                </a:graphic>
              </wp:inline>
            </w:drawing>
          </w:r>
          <w:r>
            <w:rPr>
              <w:noProof/>
            </w:rPr>
            <w:drawing>
              <wp:inline distT="0" distB="0" distL="0" distR="0" wp14:anchorId="127DBF8E" wp14:editId="7D2A7091">
                <wp:extent cx="590550" cy="371475"/>
                <wp:effectExtent l="0" t="0" r="0" b="9525"/>
                <wp:docPr id="2" name="Imagen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0550" cy="371475"/>
                        </a:xfrm>
                        <a:prstGeom prst="rect">
                          <a:avLst/>
                        </a:prstGeom>
                        <a:noFill/>
                        <a:ln>
                          <a:noFill/>
                        </a:ln>
                      </pic:spPr>
                    </pic:pic>
                  </a:graphicData>
                </a:graphic>
              </wp:inline>
            </w:drawing>
          </w:r>
          <w:r>
            <w:t xml:space="preserve">         </w:t>
          </w:r>
        </w:p>
        <w:p w:rsidR="00BB3CD0" w:rsidRPr="00082C3A" w:rsidRDefault="00BB3CD0" w:rsidP="00794CA0">
          <w:pPr>
            <w:rPr>
              <w:sz w:val="18"/>
              <w:szCs w:val="18"/>
            </w:rPr>
          </w:pPr>
        </w:p>
        <w:p w:rsidR="00BB3CD0" w:rsidRPr="00082C3A" w:rsidRDefault="00BB3CD0" w:rsidP="00794CA0">
          <w:pPr>
            <w:pStyle w:val="Ttulo2"/>
            <w:numPr>
              <w:ilvl w:val="0"/>
              <w:numId w:val="0"/>
            </w:numPr>
            <w:jc w:val="left"/>
            <w:rPr>
              <w:sz w:val="22"/>
              <w:szCs w:val="22"/>
            </w:rPr>
          </w:pPr>
          <w:r>
            <w:rPr>
              <w:sz w:val="22"/>
              <w:szCs w:val="22"/>
            </w:rPr>
            <w:t xml:space="preserve">           </w:t>
          </w:r>
          <w:hyperlink r:id="rId4" w:history="1">
            <w:r w:rsidRPr="00082C3A">
              <w:rPr>
                <w:rStyle w:val="Hipervnculo"/>
                <w:sz w:val="22"/>
                <w:szCs w:val="22"/>
              </w:rPr>
              <w:t>@</w:t>
            </w:r>
            <w:proofErr w:type="spellStart"/>
            <w:r w:rsidRPr="00082C3A">
              <w:rPr>
                <w:rStyle w:val="u-linkcomplex-target"/>
                <w:color w:val="0000FF"/>
                <w:sz w:val="22"/>
                <w:szCs w:val="22"/>
                <w:u w:val="single"/>
              </w:rPr>
              <w:t>DelegGobMurcia</w:t>
            </w:r>
            <w:proofErr w:type="spellEnd"/>
          </w:hyperlink>
        </w:p>
        <w:p w:rsidR="00BB3CD0" w:rsidRPr="00082C3A" w:rsidRDefault="00BB3CD0" w:rsidP="00794CA0">
          <w:pPr>
            <w:rPr>
              <w:sz w:val="18"/>
              <w:szCs w:val="18"/>
            </w:rPr>
          </w:pPr>
        </w:p>
      </w:tc>
    </w:tr>
  </w:tbl>
  <w:p w:rsidR="00BB3CD0" w:rsidRDefault="00BB3CD0" w:rsidP="005A20F6"/>
  <w:tbl>
    <w:tblPr>
      <w:tblW w:w="1119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3"/>
      <w:gridCol w:w="6096"/>
      <w:gridCol w:w="2409"/>
    </w:tblGrid>
    <w:tr w:rsidR="00BB3CD0" w:rsidTr="00794CA0">
      <w:trPr>
        <w:cantSplit/>
        <w:trHeight w:val="120"/>
      </w:trPr>
      <w:tc>
        <w:tcPr>
          <w:tcW w:w="2693" w:type="dxa"/>
          <w:tcBorders>
            <w:top w:val="nil"/>
            <w:left w:val="nil"/>
            <w:bottom w:val="nil"/>
            <w:right w:val="nil"/>
          </w:tcBorders>
          <w:vAlign w:val="center"/>
        </w:tcPr>
        <w:p w:rsidR="00BB3CD0" w:rsidRDefault="00BB3CD0" w:rsidP="00794CA0">
          <w:pPr>
            <w:pStyle w:val="Encabezado"/>
            <w:tabs>
              <w:tab w:val="clear" w:pos="4252"/>
              <w:tab w:val="clear" w:pos="8504"/>
            </w:tabs>
            <w:rPr>
              <w:lang w:val="es-ES_tradnl"/>
            </w:rPr>
          </w:pPr>
          <w:r>
            <w:rPr>
              <w:rFonts w:ascii="Gill Sans MT" w:hAnsi="Gill Sans MT"/>
              <w:sz w:val="10"/>
              <w:bdr w:val="single" w:sz="4" w:space="0" w:color="auto"/>
            </w:rPr>
            <w:t>CORREO ELECTRÓNICO</w:t>
          </w:r>
        </w:p>
        <w:p w:rsidR="00BB3CD0" w:rsidRPr="00B74E5B" w:rsidRDefault="00BB3CD0" w:rsidP="00794CA0">
          <w:pPr>
            <w:spacing w:line="180" w:lineRule="atLeast"/>
            <w:rPr>
              <w:rFonts w:ascii="Arial Narrow" w:hAnsi="Arial Narrow"/>
              <w:sz w:val="20"/>
            </w:rPr>
          </w:pPr>
          <w:r>
            <w:rPr>
              <w:rFonts w:ascii="Arial Narrow" w:hAnsi="Arial Narrow"/>
              <w:sz w:val="20"/>
            </w:rPr>
            <w:t>julio.jorquera</w:t>
          </w:r>
          <w:r w:rsidRPr="00B74E5B">
            <w:rPr>
              <w:rFonts w:ascii="Arial Narrow" w:hAnsi="Arial Narrow"/>
              <w:sz w:val="20"/>
            </w:rPr>
            <w:t>@</w:t>
          </w:r>
          <w:r>
            <w:rPr>
              <w:rFonts w:ascii="Arial Narrow" w:hAnsi="Arial Narrow"/>
              <w:sz w:val="20"/>
            </w:rPr>
            <w:t>correo.gob.es</w:t>
          </w:r>
        </w:p>
        <w:p w:rsidR="00BB3CD0" w:rsidRDefault="00BB3CD0" w:rsidP="00794CA0">
          <w:pPr>
            <w:spacing w:line="180" w:lineRule="atLeast"/>
            <w:rPr>
              <w:rFonts w:ascii="Arial Narrow" w:hAnsi="Arial Narrow"/>
              <w:sz w:val="10"/>
            </w:rPr>
          </w:pPr>
        </w:p>
      </w:tc>
      <w:tc>
        <w:tcPr>
          <w:tcW w:w="6096" w:type="dxa"/>
          <w:tcBorders>
            <w:top w:val="nil"/>
            <w:left w:val="nil"/>
            <w:bottom w:val="nil"/>
            <w:right w:val="nil"/>
          </w:tcBorders>
        </w:tcPr>
        <w:p w:rsidR="00BB3CD0" w:rsidRDefault="00BB3CD0" w:rsidP="00794CA0">
          <w:pPr>
            <w:jc w:val="center"/>
            <w:rPr>
              <w:rFonts w:ascii="Arial Narrow" w:hAnsi="Arial Narrow"/>
              <w:sz w:val="18"/>
            </w:rPr>
          </w:pPr>
        </w:p>
        <w:p w:rsidR="00BB3CD0" w:rsidRDefault="00BB3CD0" w:rsidP="00794CA0">
          <w:pPr>
            <w:jc w:val="center"/>
            <w:rPr>
              <w:sz w:val="18"/>
            </w:rPr>
          </w:pPr>
          <w:r>
            <w:rPr>
              <w:rFonts w:ascii="Arial Narrow" w:hAnsi="Arial Narrow"/>
              <w:sz w:val="18"/>
            </w:rPr>
            <w:t>Esta información puede ser usada en parte o en su integridad sin necesidad de citar fuentes</w:t>
          </w:r>
        </w:p>
      </w:tc>
      <w:tc>
        <w:tcPr>
          <w:tcW w:w="2409" w:type="dxa"/>
          <w:vMerge w:val="restart"/>
          <w:tcBorders>
            <w:top w:val="nil"/>
            <w:bottom w:val="nil"/>
            <w:right w:val="nil"/>
          </w:tcBorders>
        </w:tcPr>
        <w:p w:rsidR="00BB3CD0" w:rsidRDefault="00BB3CD0" w:rsidP="00794CA0">
          <w:pPr>
            <w:spacing w:before="120"/>
            <w:ind w:left="72"/>
            <w:jc w:val="both"/>
            <w:rPr>
              <w:rFonts w:ascii="Gill Sans MT" w:hAnsi="Gill Sans MT"/>
              <w:sz w:val="10"/>
            </w:rPr>
          </w:pPr>
          <w:r>
            <w:rPr>
              <w:rFonts w:ascii="Gill Sans MT" w:hAnsi="Gill Sans MT"/>
              <w:sz w:val="10"/>
            </w:rPr>
            <w:t xml:space="preserve">DELEGACIÓN DEL GOBIERNO EN </w:t>
          </w:r>
          <w:smartTag w:uri="urn:schemas-microsoft-com:office:smarttags" w:element="PersonName">
            <w:smartTagPr>
              <w:attr w:name="ProductID" w:val="LA REGIￓN DE"/>
            </w:smartTagPr>
            <w:r>
              <w:rPr>
                <w:rFonts w:ascii="Gill Sans MT" w:hAnsi="Gill Sans MT"/>
                <w:sz w:val="10"/>
              </w:rPr>
              <w:t>LA REGIÓN DE</w:t>
            </w:r>
          </w:smartTag>
          <w:r>
            <w:rPr>
              <w:rFonts w:ascii="Gill Sans MT" w:hAnsi="Gill Sans MT"/>
              <w:sz w:val="10"/>
            </w:rPr>
            <w:t xml:space="preserve"> MURCIA</w:t>
          </w:r>
        </w:p>
        <w:p w:rsidR="00BB3CD0" w:rsidRDefault="00BB3CD0" w:rsidP="00794CA0">
          <w:pPr>
            <w:spacing w:before="120"/>
            <w:ind w:left="72"/>
            <w:jc w:val="both"/>
            <w:rPr>
              <w:rFonts w:ascii="Gill Sans MT" w:hAnsi="Gill Sans MT"/>
              <w:sz w:val="10"/>
            </w:rPr>
          </w:pPr>
          <w:r>
            <w:rPr>
              <w:rFonts w:ascii="Gill Sans MT" w:hAnsi="Gill Sans MT"/>
              <w:sz w:val="10"/>
            </w:rPr>
            <w:t>AVENIDA TENIENTE FLOMESTA, S/N</w:t>
          </w:r>
        </w:p>
        <w:p w:rsidR="00BB3CD0" w:rsidRDefault="00BB3CD0" w:rsidP="00794CA0">
          <w:pPr>
            <w:ind w:left="72"/>
            <w:jc w:val="both"/>
            <w:rPr>
              <w:rFonts w:ascii="Gill Sans MT" w:hAnsi="Gill Sans MT"/>
              <w:sz w:val="10"/>
            </w:rPr>
          </w:pPr>
          <w:r>
            <w:rPr>
              <w:rFonts w:ascii="Gill Sans MT" w:hAnsi="Gill Sans MT"/>
              <w:sz w:val="10"/>
            </w:rPr>
            <w:t>30.071 MURCIA</w:t>
          </w:r>
        </w:p>
        <w:p w:rsidR="00BB3CD0" w:rsidRDefault="00BB3CD0" w:rsidP="00794CA0">
          <w:pPr>
            <w:ind w:left="72"/>
            <w:jc w:val="both"/>
            <w:rPr>
              <w:rFonts w:ascii="Gill Sans MT" w:hAnsi="Gill Sans MT"/>
              <w:sz w:val="10"/>
            </w:rPr>
          </w:pPr>
          <w:r>
            <w:rPr>
              <w:rFonts w:ascii="Gill Sans MT" w:hAnsi="Gill Sans MT"/>
              <w:sz w:val="10"/>
            </w:rPr>
            <w:t>TEL: 968 989 108 / 968 989 107</w:t>
          </w:r>
        </w:p>
        <w:p w:rsidR="00BB3CD0" w:rsidRDefault="00BB3CD0" w:rsidP="00794CA0">
          <w:pPr>
            <w:spacing w:after="120"/>
            <w:ind w:left="74"/>
          </w:pPr>
        </w:p>
      </w:tc>
    </w:tr>
    <w:tr w:rsidR="00BB3CD0" w:rsidTr="00794CA0">
      <w:trPr>
        <w:cantSplit/>
        <w:trHeight w:val="120"/>
      </w:trPr>
      <w:tc>
        <w:tcPr>
          <w:tcW w:w="2693" w:type="dxa"/>
          <w:tcBorders>
            <w:top w:val="nil"/>
            <w:left w:val="nil"/>
            <w:bottom w:val="nil"/>
            <w:right w:val="nil"/>
          </w:tcBorders>
        </w:tcPr>
        <w:p w:rsidR="00BB3CD0" w:rsidRDefault="00BB3CD0" w:rsidP="00794CA0">
          <w:pPr>
            <w:spacing w:line="240" w:lineRule="atLeast"/>
            <w:rPr>
              <w:sz w:val="20"/>
            </w:rPr>
          </w:pPr>
          <w:r>
            <w:rPr>
              <w:sz w:val="20"/>
            </w:rPr>
            <w:t xml:space="preserve">Página </w:t>
          </w:r>
          <w:r>
            <w:rPr>
              <w:sz w:val="20"/>
            </w:rPr>
            <w:fldChar w:fldCharType="begin"/>
          </w:r>
          <w:r>
            <w:rPr>
              <w:sz w:val="20"/>
            </w:rPr>
            <w:instrText xml:space="preserve"> PAGE </w:instrText>
          </w:r>
          <w:r>
            <w:rPr>
              <w:sz w:val="20"/>
            </w:rPr>
            <w:fldChar w:fldCharType="separate"/>
          </w:r>
          <w:r w:rsidR="00903767">
            <w:rPr>
              <w:noProof/>
              <w:sz w:val="20"/>
            </w:rPr>
            <w:t>1</w:t>
          </w:r>
          <w:r>
            <w:rPr>
              <w:sz w:val="20"/>
            </w:rPr>
            <w:fldChar w:fldCharType="end"/>
          </w:r>
          <w:r>
            <w:rPr>
              <w:sz w:val="20"/>
            </w:rPr>
            <w:t xml:space="preserve"> de </w:t>
          </w:r>
          <w:r>
            <w:rPr>
              <w:sz w:val="20"/>
            </w:rPr>
            <w:fldChar w:fldCharType="begin"/>
          </w:r>
          <w:r>
            <w:rPr>
              <w:sz w:val="20"/>
            </w:rPr>
            <w:instrText xml:space="preserve"> NUMPAGES </w:instrText>
          </w:r>
          <w:r>
            <w:rPr>
              <w:sz w:val="20"/>
            </w:rPr>
            <w:fldChar w:fldCharType="separate"/>
          </w:r>
          <w:r w:rsidR="00903767">
            <w:rPr>
              <w:noProof/>
              <w:sz w:val="20"/>
            </w:rPr>
            <w:t>3</w:t>
          </w:r>
          <w:r>
            <w:rPr>
              <w:sz w:val="20"/>
            </w:rPr>
            <w:fldChar w:fldCharType="end"/>
          </w:r>
        </w:p>
      </w:tc>
      <w:tc>
        <w:tcPr>
          <w:tcW w:w="6096" w:type="dxa"/>
          <w:tcBorders>
            <w:top w:val="nil"/>
            <w:left w:val="nil"/>
            <w:bottom w:val="nil"/>
            <w:right w:val="nil"/>
          </w:tcBorders>
        </w:tcPr>
        <w:p w:rsidR="00BB3CD0" w:rsidRDefault="00C418F1" w:rsidP="00794CA0">
          <w:pPr>
            <w:jc w:val="center"/>
            <w:rPr>
              <w:rFonts w:ascii="Arial Narrow" w:hAnsi="Arial Narrow"/>
              <w:b/>
              <w:bCs/>
              <w:sz w:val="16"/>
            </w:rPr>
          </w:pPr>
          <w:hyperlink r:id="rId5" w:history="1">
            <w:r w:rsidR="00BB3CD0" w:rsidRPr="00030D12">
              <w:rPr>
                <w:rStyle w:val="Hipervnculo"/>
                <w:rFonts w:ascii="Arial Narrow" w:hAnsi="Arial Narrow" w:cs="Arial"/>
                <w:b/>
                <w:bCs/>
                <w:sz w:val="16"/>
              </w:rPr>
              <w:t>http://www.seat.mpr.es/portal/delegaciones_gobierno/delegaciones/murcia/actualidad/notas_de_prensa.html</w:t>
            </w:r>
          </w:hyperlink>
        </w:p>
        <w:p w:rsidR="00BB3CD0" w:rsidRPr="00A20B1E" w:rsidRDefault="00BB3CD0" w:rsidP="00794CA0">
          <w:pPr>
            <w:jc w:val="center"/>
            <w:rPr>
              <w:rFonts w:ascii="Arial Narrow" w:hAnsi="Arial Narrow"/>
              <w:b/>
              <w:bCs/>
              <w:sz w:val="22"/>
            </w:rPr>
          </w:pPr>
        </w:p>
      </w:tc>
      <w:tc>
        <w:tcPr>
          <w:tcW w:w="2409" w:type="dxa"/>
          <w:vMerge/>
          <w:tcBorders>
            <w:bottom w:val="nil"/>
            <w:right w:val="nil"/>
          </w:tcBorders>
        </w:tcPr>
        <w:p w:rsidR="00BB3CD0" w:rsidRDefault="00BB3CD0" w:rsidP="00794CA0"/>
      </w:tc>
    </w:tr>
  </w:tbl>
  <w:p w:rsidR="00BB3CD0" w:rsidRPr="005A20F6" w:rsidRDefault="00BB3CD0" w:rsidP="005A20F6">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CD0" w:rsidRDefault="00BB3CD0">
      <w:r>
        <w:separator/>
      </w:r>
    </w:p>
  </w:footnote>
  <w:footnote w:type="continuationSeparator" w:id="0">
    <w:p w:rsidR="00BB3CD0" w:rsidRDefault="00BB3CD0">
      <w:r>
        <w:continuationSeparator/>
      </w:r>
    </w:p>
  </w:footnote>
  <w:footnote w:id="1">
    <w:p w:rsidR="004407CB" w:rsidRDefault="004407CB" w:rsidP="004407CB">
      <w:pPr>
        <w:pStyle w:val="Textonotapie"/>
      </w:pPr>
      <w:r>
        <w:rPr>
          <w:rStyle w:val="Refdenotaalpie"/>
        </w:rPr>
        <w:footnoteRef/>
      </w:r>
      <w:r>
        <w:t xml:space="preserve"> </w:t>
      </w:r>
      <w:r w:rsidRPr="00683912">
        <w:t xml:space="preserve">Incluye capítulos 6 y 7, y los FCII.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D0" w:rsidRDefault="00BB3CD0">
    <w:pPr>
      <w:pStyle w:val="Encabezado"/>
    </w:pPr>
  </w:p>
  <w:p w:rsidR="00BB3CD0" w:rsidRDefault="00BB3CD0">
    <w:pPr>
      <w:pStyle w:val="Encabezado"/>
    </w:pPr>
  </w:p>
  <w:p w:rsidR="00BB3CD0" w:rsidRDefault="00BB3CD0">
    <w:pPr>
      <w:pStyle w:val="Encabezado"/>
    </w:pPr>
  </w:p>
  <w:p w:rsidR="00BB3CD0" w:rsidRDefault="00BB3CD0">
    <w:pPr>
      <w:pStyle w:val="Encabezado"/>
    </w:pPr>
  </w:p>
  <w:p w:rsidR="00BB3CD0" w:rsidRDefault="00BB3CD0">
    <w:pPr>
      <w:pStyle w:val="Encabezado"/>
    </w:pPr>
  </w:p>
  <w:p w:rsidR="00BB3CD0" w:rsidRDefault="00BB3C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CD0" w:rsidRDefault="00BB3CD0" w:rsidP="000E50FE">
    <w:pPr>
      <w:rPr>
        <w:rFonts w:ascii="Gill Sans MT" w:hAnsi="Gill Sans MT"/>
        <w:sz w:val="16"/>
      </w:rPr>
    </w:pPr>
  </w:p>
  <w:p w:rsidR="00BB3CD0" w:rsidRDefault="00BB3CD0" w:rsidP="000E50FE">
    <w:pPr>
      <w:rPr>
        <w:rFonts w:ascii="Gill Sans MT" w:hAnsi="Gill Sans MT"/>
        <w:sz w:val="16"/>
      </w:rPr>
    </w:pPr>
  </w:p>
  <w:p w:rsidR="00BB3CD0" w:rsidRDefault="00BB3CD0" w:rsidP="000E50FE">
    <w:pPr>
      <w:rPr>
        <w:rFonts w:ascii="Gill Sans MT" w:hAnsi="Gill Sans MT"/>
        <w:sz w:val="16"/>
      </w:rPr>
    </w:pPr>
  </w:p>
  <w:tbl>
    <w:tblPr>
      <w:tblW w:w="14814" w:type="dxa"/>
      <w:tblLayout w:type="fixed"/>
      <w:tblCellMar>
        <w:left w:w="70" w:type="dxa"/>
        <w:right w:w="70" w:type="dxa"/>
      </w:tblCellMar>
      <w:tblLook w:val="0000" w:firstRow="0" w:lastRow="0" w:firstColumn="0" w:lastColumn="0" w:noHBand="0" w:noVBand="0"/>
    </w:tblPr>
    <w:tblGrid>
      <w:gridCol w:w="1418"/>
      <w:gridCol w:w="7797"/>
      <w:gridCol w:w="4606"/>
      <w:gridCol w:w="993"/>
    </w:tblGrid>
    <w:tr w:rsidR="00BB3CD0" w:rsidTr="000E50FE">
      <w:trPr>
        <w:gridAfter w:val="1"/>
        <w:wAfter w:w="993" w:type="dxa"/>
        <w:cantSplit/>
        <w:trHeight w:val="543"/>
      </w:trPr>
      <w:tc>
        <w:tcPr>
          <w:tcW w:w="1418" w:type="dxa"/>
          <w:vMerge w:val="restart"/>
        </w:tcPr>
        <w:p w:rsidR="00BB3CD0" w:rsidRDefault="00BB3CD0" w:rsidP="000E50FE">
          <w:pPr>
            <w:pStyle w:val="Encabezado"/>
            <w:tabs>
              <w:tab w:val="clear" w:pos="4252"/>
              <w:tab w:val="clear" w:pos="8504"/>
            </w:tabs>
          </w:pPr>
          <w:r w:rsidRPr="00531933">
            <w:rPr>
              <w:rFonts w:cs="Arial"/>
              <w:lang w:val="es-ES" w:eastAsia="es-ES"/>
            </w:rPr>
            <w:object w:dxaOrig="1081" w:dyaOrig="1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95pt;height:58.25pt" o:ole="" fillcolor="window">
                <v:imagedata r:id="rId1" o:title=""/>
              </v:shape>
              <o:OLEObject Type="Embed" ProgID="Word.Picture.8" ShapeID="_x0000_i1025" DrawAspect="Content" ObjectID="_1609151920" r:id="rId2"/>
            </w:object>
          </w:r>
        </w:p>
      </w:tc>
      <w:tc>
        <w:tcPr>
          <w:tcW w:w="7797" w:type="dxa"/>
          <w:vMerge w:val="restart"/>
        </w:tcPr>
        <w:tbl>
          <w:tblPr>
            <w:tblStyle w:val="Tablabsica2"/>
            <w:tblpPr w:leftFromText="141" w:rightFromText="141" w:vertAnchor="text" w:horzAnchor="page" w:tblpX="3466" w:tblpY="106"/>
            <w:tblW w:w="0" w:type="auto"/>
            <w:tblLayout w:type="fixed"/>
            <w:tblLook w:val="0000" w:firstRow="0" w:lastRow="0" w:firstColumn="0" w:lastColumn="0" w:noHBand="0" w:noVBand="0"/>
          </w:tblPr>
          <w:tblGrid>
            <w:gridCol w:w="1725"/>
          </w:tblGrid>
          <w:tr w:rsidR="00BB3CD0" w:rsidTr="000E50FE">
            <w:trPr>
              <w:trHeight w:val="1065"/>
            </w:trPr>
            <w:tc>
              <w:tcPr>
                <w:tcW w:w="1725" w:type="dxa"/>
              </w:tcPr>
              <w:p w:rsidR="00BB3CD0" w:rsidRDefault="00BB3CD0" w:rsidP="000E50FE">
                <w:pPr>
                  <w:rPr>
                    <w:rFonts w:ascii="Gill Sans MT" w:hAnsi="Gill Sans MT"/>
                    <w:sz w:val="22"/>
                  </w:rPr>
                </w:pPr>
                <w:r>
                  <w:rPr>
                    <w:rFonts w:ascii="Gill Sans MT" w:hAnsi="Gill Sans MT"/>
                    <w:noProof/>
                    <w:sz w:val="22"/>
                  </w:rPr>
                  <w:drawing>
                    <wp:inline distT="0" distB="0" distL="0" distR="0" wp14:anchorId="18F0E41C" wp14:editId="6C6BCCFA">
                      <wp:extent cx="1006475" cy="595630"/>
                      <wp:effectExtent l="0" t="0" r="3175" b="0"/>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LINEA.jpg"/>
                              <pic:cNvPicPr/>
                            </pic:nvPicPr>
                            <pic:blipFill>
                              <a:blip r:embed="rId3">
                                <a:extLst>
                                  <a:ext uri="{28A0092B-C50C-407E-A947-70E740481C1C}">
                                    <a14:useLocalDpi xmlns:a14="http://schemas.microsoft.com/office/drawing/2010/main" val="0"/>
                                  </a:ext>
                                </a:extLst>
                              </a:blip>
                              <a:stretch>
                                <a:fillRect/>
                              </a:stretch>
                            </pic:blipFill>
                            <pic:spPr>
                              <a:xfrm>
                                <a:off x="0" y="0"/>
                                <a:ext cx="1006475" cy="595630"/>
                              </a:xfrm>
                              <a:prstGeom prst="rect">
                                <a:avLst/>
                              </a:prstGeom>
                            </pic:spPr>
                          </pic:pic>
                        </a:graphicData>
                      </a:graphic>
                    </wp:inline>
                  </w:drawing>
                </w:r>
              </w:p>
            </w:tc>
          </w:tr>
        </w:tbl>
        <w:p w:rsidR="00BB3CD0" w:rsidRDefault="00BB3CD0" w:rsidP="000E50FE">
          <w:pPr>
            <w:rPr>
              <w:rFonts w:ascii="Gill Sans MT" w:hAnsi="Gill Sans MT"/>
              <w:sz w:val="22"/>
            </w:rPr>
          </w:pPr>
        </w:p>
        <w:p w:rsidR="00BB3CD0" w:rsidRDefault="00BB3CD0" w:rsidP="000E50FE">
          <w:pPr>
            <w:rPr>
              <w:rFonts w:ascii="Gill Sans MT" w:hAnsi="Gill Sans MT"/>
              <w:sz w:val="22"/>
            </w:rPr>
          </w:pPr>
          <w:r>
            <w:rPr>
              <w:rFonts w:ascii="Gill Sans MT" w:hAnsi="Gill Sans MT"/>
              <w:sz w:val="22"/>
            </w:rPr>
            <w:t>DELEGACIÓN DEL GOBIERNO</w:t>
          </w:r>
        </w:p>
        <w:p w:rsidR="00BB3CD0" w:rsidRDefault="00BB3CD0" w:rsidP="000E50FE">
          <w:r>
            <w:rPr>
              <w:rFonts w:ascii="Gill Sans MT" w:hAnsi="Gill Sans MT"/>
              <w:sz w:val="22"/>
            </w:rPr>
            <w:t xml:space="preserve">EN LA REGIÓN DE MURCIA   </w:t>
          </w:r>
        </w:p>
      </w:tc>
      <w:tc>
        <w:tcPr>
          <w:tcW w:w="4606" w:type="dxa"/>
          <w:shd w:val="clear" w:color="auto" w:fill="A6A6A6" w:themeFill="background1" w:themeFillShade="A6"/>
        </w:tcPr>
        <w:p w:rsidR="00BB3CD0" w:rsidRPr="000E50FE" w:rsidRDefault="00BB3CD0" w:rsidP="000E50FE">
          <w:pPr>
            <w:pStyle w:val="Encabezado"/>
            <w:tabs>
              <w:tab w:val="clear" w:pos="4252"/>
              <w:tab w:val="left" w:pos="6521"/>
            </w:tabs>
            <w:ind w:left="210" w:hanging="210"/>
            <w:rPr>
              <w:sz w:val="20"/>
            </w:rPr>
          </w:pPr>
          <w:r w:rsidRPr="000E50FE">
            <w:rPr>
              <w:rFonts w:ascii="Gill Sans MT" w:hAnsi="Gill Sans MT"/>
              <w:kern w:val="16"/>
              <w:sz w:val="20"/>
              <w:lang w:val="es-ES"/>
            </w:rPr>
            <w:t xml:space="preserve">GABINETE </w:t>
          </w:r>
          <w:r w:rsidRPr="000E50FE">
            <w:rPr>
              <w:rFonts w:ascii="Gill Sans MT" w:hAnsi="Gill Sans MT"/>
              <w:kern w:val="16"/>
              <w:sz w:val="20"/>
            </w:rPr>
            <w:t>DE PRENSA</w:t>
          </w:r>
        </w:p>
      </w:tc>
    </w:tr>
    <w:tr w:rsidR="00BB3CD0" w:rsidTr="000E50FE">
      <w:trPr>
        <w:cantSplit/>
        <w:trHeight w:val="40"/>
      </w:trPr>
      <w:tc>
        <w:tcPr>
          <w:tcW w:w="1418" w:type="dxa"/>
          <w:vMerge/>
        </w:tcPr>
        <w:p w:rsidR="00BB3CD0" w:rsidRDefault="00BB3CD0" w:rsidP="000E50FE">
          <w:pPr>
            <w:pStyle w:val="Encabezado"/>
            <w:tabs>
              <w:tab w:val="clear" w:pos="4252"/>
              <w:tab w:val="left" w:pos="2127"/>
              <w:tab w:val="left" w:pos="6521"/>
            </w:tabs>
          </w:pPr>
        </w:p>
      </w:tc>
      <w:tc>
        <w:tcPr>
          <w:tcW w:w="7797" w:type="dxa"/>
          <w:vMerge/>
        </w:tcPr>
        <w:p w:rsidR="00BB3CD0" w:rsidRDefault="00BB3CD0" w:rsidP="000E50FE">
          <w:pPr>
            <w:pStyle w:val="Encabezado"/>
            <w:tabs>
              <w:tab w:val="clear" w:pos="4252"/>
              <w:tab w:val="left" w:pos="2127"/>
              <w:tab w:val="left" w:pos="6521"/>
            </w:tabs>
          </w:pPr>
        </w:p>
      </w:tc>
      <w:tc>
        <w:tcPr>
          <w:tcW w:w="5599" w:type="dxa"/>
          <w:gridSpan w:val="2"/>
          <w:vAlign w:val="center"/>
        </w:tcPr>
        <w:p w:rsidR="00BB3CD0" w:rsidRDefault="00BB3CD0" w:rsidP="000E50FE">
          <w:pPr>
            <w:pStyle w:val="Encabezado"/>
            <w:tabs>
              <w:tab w:val="clear" w:pos="4252"/>
              <w:tab w:val="left" w:pos="6521"/>
            </w:tabs>
            <w:spacing w:after="240"/>
            <w:ind w:right="1418"/>
            <w:rPr>
              <w:kern w:val="16"/>
            </w:rPr>
          </w:pPr>
        </w:p>
      </w:tc>
    </w:tr>
  </w:tbl>
  <w:p w:rsidR="00BB3CD0" w:rsidRDefault="00BB3CD0" w:rsidP="000E50FE">
    <w:pPr>
      <w:pStyle w:val="Encabezado"/>
      <w:tabs>
        <w:tab w:val="clear" w:pos="4252"/>
        <w:tab w:val="left" w:pos="2127"/>
        <w:tab w:val="left" w:pos="6521"/>
      </w:tabs>
      <w:ind w:firstLine="227"/>
      <w:rPr>
        <w:rFonts w:ascii="Gill Sans MT" w:hAnsi="Gill Sans MT"/>
        <w:sz w:val="16"/>
      </w:rPr>
    </w:pPr>
  </w:p>
  <w:p w:rsidR="00BB3CD0" w:rsidRDefault="00BB3CD0" w:rsidP="000E50FE">
    <w:pPr>
      <w:pStyle w:val="Encabezado"/>
      <w:tabs>
        <w:tab w:val="clear" w:pos="4252"/>
        <w:tab w:val="left" w:pos="2127"/>
        <w:tab w:val="left" w:pos="6521"/>
      </w:tabs>
      <w:ind w:firstLine="227"/>
      <w:rPr>
        <w:rFonts w:ascii="Gill Sans MT" w:hAnsi="Gill Sans MT"/>
        <w:sz w:val="16"/>
      </w:rPr>
    </w:pPr>
  </w:p>
  <w:p w:rsidR="00BB3CD0" w:rsidRDefault="00BB3CD0">
    <w:pPr>
      <w:pStyle w:val="Encabezado"/>
      <w:tabs>
        <w:tab w:val="clear" w:pos="4252"/>
        <w:tab w:val="left" w:pos="2127"/>
        <w:tab w:val="left" w:pos="6521"/>
      </w:tabs>
      <w:ind w:firstLine="227"/>
      <w:rPr>
        <w:rFonts w:ascii="Gill Sans MT" w:hAnsi="Gill Sans MT"/>
        <w:sz w:val="16"/>
      </w:rPr>
    </w:pPr>
  </w:p>
  <w:p w:rsidR="00BB3CD0" w:rsidRDefault="00BB3CD0">
    <w:pPr>
      <w:pStyle w:val="Encabezado"/>
      <w:tabs>
        <w:tab w:val="clear" w:pos="4252"/>
        <w:tab w:val="left" w:pos="2127"/>
        <w:tab w:val="left" w:pos="6521"/>
      </w:tabs>
      <w:ind w:firstLine="227"/>
      <w:rPr>
        <w:rFonts w:ascii="Gill Sans MT" w:hAnsi="Gill Sans MT"/>
        <w:sz w:val="16"/>
      </w:rPr>
    </w:pPr>
  </w:p>
  <w:p w:rsidR="00BB3CD0" w:rsidRDefault="00BB3CD0">
    <w:pPr>
      <w:pStyle w:val="Encabezado"/>
      <w:tabs>
        <w:tab w:val="clear" w:pos="4252"/>
        <w:tab w:val="left" w:pos="2127"/>
        <w:tab w:val="left" w:pos="6521"/>
      </w:tabs>
      <w:ind w:firstLine="227"/>
      <w:rPr>
        <w:rFonts w:ascii="Gill Sans MT" w:hAnsi="Gill Sans MT"/>
        <w:sz w:val="16"/>
      </w:rPr>
    </w:pPr>
    <w:r>
      <w:rPr>
        <w:noProof/>
        <w:lang w:val="es-ES" w:eastAsia="es-ES"/>
      </w:rPr>
      <mc:AlternateContent>
        <mc:Choice Requires="wps">
          <w:drawing>
            <wp:anchor distT="4294967295" distB="4294967295" distL="114300" distR="114300" simplePos="0" relativeHeight="251657728" behindDoc="0" locked="1" layoutInCell="1" allowOverlap="1" wp14:anchorId="7EA3859B" wp14:editId="62499600">
              <wp:simplePos x="0" y="0"/>
              <wp:positionH relativeFrom="page">
                <wp:posOffset>-520065</wp:posOffset>
              </wp:positionH>
              <wp:positionV relativeFrom="page">
                <wp:posOffset>7546339</wp:posOffset>
              </wp:positionV>
              <wp:extent cx="274320" cy="0"/>
              <wp:effectExtent l="0" t="0" r="11430" b="19050"/>
              <wp:wrapTopAndBottom/>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1"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95pt,594.2pt" to="-19.35pt,59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iUEwIAACc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fyxeMjBM3o9Skh5jTPW+Y9c9yhMKixBcuQlh2fnQTlAr5BwjdJrIWX0&#10;Wio0VHg+yScxwGkpWDgMMGd321padCChW+IXygBkdzCr94pFso4TtrrMPRHyPAe8VIEPMgE5l9m5&#10;Hb7N0/lqtpoVoyKfrkZF2jSjD+u6GE3X2eOkeWjqusm+B2lZUXaCMa6CumtrZsXfWX95JOemujXn&#10;rQzJPXtMEcRe/1F0tDK4d+6DrWanjQ3VCK5CN0bw5eWEdv91HVE/3/fyBwAAAP//AwBQSwMEFAAG&#10;AAgAAAAhAOZ6pjDfAAAADQEAAA8AAABkcnMvZG93bnJldi54bWxMj8FOwzAMhu9IvENkJC5Tl3ZD&#10;EErTCQG9cWGAuHqNaSuapGuyrfD0M4cJjvb/6ffnYjXZXuxpDJ13GrJ5CoJc7U3nGg1vr1WiQISI&#10;zmDvHWn4pgCr8vyswNz4g3uh/To2gktcyFFDG+OQSxnqliyGuR/IcfbpR4uRx7GRZsQDl9teLtL0&#10;WlrsHF9ocaCHluqv9c5qCNU7baufWT1LP5aNp8X28fkJtb68mO7vQESa4h8Mv/qsDiU7bfzOmSB6&#10;DYnKbhnlIFPqCgQjyVLdgNicVrIs5P8vyiMAAAD//wMAUEsBAi0AFAAGAAgAAAAhALaDOJL+AAAA&#10;4QEAABMAAAAAAAAAAAAAAAAAAAAAAFtDb250ZW50X1R5cGVzXS54bWxQSwECLQAUAAYACAAAACEA&#10;OP0h/9YAAACUAQAACwAAAAAAAAAAAAAAAAAvAQAAX3JlbHMvLnJlbHNQSwECLQAUAAYACAAAACEA&#10;42f4lBMCAAAnBAAADgAAAAAAAAAAAAAAAAAuAgAAZHJzL2Uyb0RvYy54bWxQSwECLQAUAAYACAAA&#10;ACEA5nqmMN8AAAANAQAADwAAAAAAAAAAAAAAAABtBAAAZHJzL2Rvd25yZXYueG1sUEsFBgAAAAAE&#10;AAQA8wAAAHkFAAAAAA==&#10;">
              <w10:wrap type="topAndBottom" anchorx="page" anchory="page"/>
              <w10:anchorlock/>
            </v:line>
          </w:pict>
        </mc:Fallback>
      </mc:AlternateContent>
    </w:r>
  </w:p>
  <w:p w:rsidR="00BB3CD0" w:rsidRDefault="00BB3CD0">
    <w:pPr>
      <w:pStyle w:val="Encabezado"/>
      <w:tabs>
        <w:tab w:val="clear" w:pos="4252"/>
        <w:tab w:val="left" w:pos="2127"/>
        <w:tab w:val="left" w:pos="6521"/>
      </w:tabs>
      <w:ind w:firstLine="227"/>
      <w:rPr>
        <w:rFonts w:ascii="Gill Sans MT" w:hAnsi="Gill Sans MT"/>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FBAE1B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B9EE6020"/>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1960F90"/>
    <w:multiLevelType w:val="hybridMultilevel"/>
    <w:tmpl w:val="8C9E1BA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25D67EB"/>
    <w:multiLevelType w:val="hybridMultilevel"/>
    <w:tmpl w:val="D4C063B0"/>
    <w:lvl w:ilvl="0" w:tplc="0C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2C201DF"/>
    <w:multiLevelType w:val="multilevel"/>
    <w:tmpl w:val="E41ED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5966AF"/>
    <w:multiLevelType w:val="multilevel"/>
    <w:tmpl w:val="29483A1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4E02B91"/>
    <w:multiLevelType w:val="multilevel"/>
    <w:tmpl w:val="363853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AF05C6"/>
    <w:multiLevelType w:val="hybridMultilevel"/>
    <w:tmpl w:val="F108614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081427FD"/>
    <w:multiLevelType w:val="multilevel"/>
    <w:tmpl w:val="B24814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010F00"/>
    <w:multiLevelType w:val="multilevel"/>
    <w:tmpl w:val="59D23A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2895681"/>
    <w:multiLevelType w:val="hybridMultilevel"/>
    <w:tmpl w:val="9416762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nsid w:val="13612089"/>
    <w:multiLevelType w:val="hybridMultilevel"/>
    <w:tmpl w:val="1E8C4E1A"/>
    <w:lvl w:ilvl="0" w:tplc="0C0A0005">
      <w:start w:val="1"/>
      <w:numFmt w:val="bullet"/>
      <w:lvlText w:val=""/>
      <w:lvlJc w:val="left"/>
      <w:pPr>
        <w:ind w:left="10000"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12">
    <w:nsid w:val="15662AD7"/>
    <w:multiLevelType w:val="multilevel"/>
    <w:tmpl w:val="7E8C4B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807D1A"/>
    <w:multiLevelType w:val="hybridMultilevel"/>
    <w:tmpl w:val="CEA2912C"/>
    <w:lvl w:ilvl="0" w:tplc="7B224D12">
      <w:start w:val="1"/>
      <w:numFmt w:val="bullet"/>
      <w:pStyle w:val="Ttulo2"/>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01E4911"/>
    <w:multiLevelType w:val="hybridMultilevel"/>
    <w:tmpl w:val="FEC206E2"/>
    <w:lvl w:ilvl="0" w:tplc="D27C8DF6">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nsid w:val="205A4646"/>
    <w:multiLevelType w:val="hybridMultilevel"/>
    <w:tmpl w:val="65E8E5B6"/>
    <w:lvl w:ilvl="0" w:tplc="6EE826BE">
      <w:start w:val="1"/>
      <w:numFmt w:val="bullet"/>
      <w:lvlText w:val=""/>
      <w:lvlJc w:val="left"/>
      <w:pPr>
        <w:tabs>
          <w:tab w:val="num" w:pos="1571"/>
        </w:tabs>
        <w:ind w:left="1571" w:hanging="360"/>
      </w:pPr>
      <w:rPr>
        <w:rFonts w:ascii="Wingdings" w:hAnsi="Wingdings" w:hint="default"/>
        <w:color w:val="FF0000"/>
      </w:rPr>
    </w:lvl>
    <w:lvl w:ilvl="1" w:tplc="0C0A0003" w:tentative="1">
      <w:start w:val="1"/>
      <w:numFmt w:val="bullet"/>
      <w:lvlText w:val="o"/>
      <w:lvlJc w:val="left"/>
      <w:pPr>
        <w:tabs>
          <w:tab w:val="num" w:pos="2291"/>
        </w:tabs>
        <w:ind w:left="2291" w:hanging="360"/>
      </w:pPr>
      <w:rPr>
        <w:rFonts w:ascii="Courier New" w:hAnsi="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16">
    <w:nsid w:val="20732359"/>
    <w:multiLevelType w:val="hybridMultilevel"/>
    <w:tmpl w:val="17A8FABC"/>
    <w:lvl w:ilvl="0" w:tplc="0C0A0001">
      <w:start w:val="1"/>
      <w:numFmt w:val="bullet"/>
      <w:lvlText w:val=""/>
      <w:lvlJc w:val="left"/>
      <w:pPr>
        <w:ind w:left="3015" w:hanging="360"/>
      </w:pPr>
      <w:rPr>
        <w:rFonts w:ascii="Symbol" w:hAnsi="Symbol"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17">
    <w:nsid w:val="23D73A43"/>
    <w:multiLevelType w:val="hybridMultilevel"/>
    <w:tmpl w:val="F1362ED4"/>
    <w:lvl w:ilvl="0" w:tplc="0C0A000D">
      <w:start w:val="1"/>
      <w:numFmt w:val="bullet"/>
      <w:lvlText w:val=""/>
      <w:lvlJc w:val="left"/>
      <w:pPr>
        <w:ind w:left="3015"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18">
    <w:nsid w:val="24021E02"/>
    <w:multiLevelType w:val="multilevel"/>
    <w:tmpl w:val="F272BC9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5607AC9"/>
    <w:multiLevelType w:val="hybridMultilevel"/>
    <w:tmpl w:val="98B28BDA"/>
    <w:lvl w:ilvl="0" w:tplc="0C0A000D">
      <w:start w:val="1"/>
      <w:numFmt w:val="bullet"/>
      <w:lvlText w:val=""/>
      <w:lvlJc w:val="left"/>
      <w:pPr>
        <w:ind w:left="2138" w:hanging="360"/>
      </w:pPr>
      <w:rPr>
        <w:rFonts w:ascii="Wingdings" w:hAnsi="Wingdings"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20">
    <w:nsid w:val="2E3C6846"/>
    <w:multiLevelType w:val="multilevel"/>
    <w:tmpl w:val="2E1EB0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0C36436"/>
    <w:multiLevelType w:val="multilevel"/>
    <w:tmpl w:val="6C601E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1623E27"/>
    <w:multiLevelType w:val="multilevel"/>
    <w:tmpl w:val="5E821C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1902B0D"/>
    <w:multiLevelType w:val="hybridMultilevel"/>
    <w:tmpl w:val="854A0D6E"/>
    <w:lvl w:ilvl="0" w:tplc="0C0A0001">
      <w:start w:val="1"/>
      <w:numFmt w:val="bullet"/>
      <w:lvlText w:val=""/>
      <w:lvlJc w:val="left"/>
      <w:pPr>
        <w:ind w:left="3015" w:hanging="360"/>
      </w:pPr>
      <w:rPr>
        <w:rFonts w:ascii="Symbol" w:hAnsi="Symbol"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24">
    <w:nsid w:val="3E963987"/>
    <w:multiLevelType w:val="hybridMultilevel"/>
    <w:tmpl w:val="5928D2FA"/>
    <w:lvl w:ilvl="0" w:tplc="0C0A000D">
      <w:start w:val="1"/>
      <w:numFmt w:val="bullet"/>
      <w:lvlText w:val=""/>
      <w:lvlJc w:val="left"/>
      <w:pPr>
        <w:ind w:left="1636" w:hanging="360"/>
      </w:pPr>
      <w:rPr>
        <w:rFonts w:ascii="Wingdings" w:hAnsi="Wingdings" w:hint="default"/>
      </w:rPr>
    </w:lvl>
    <w:lvl w:ilvl="1" w:tplc="040A0003" w:tentative="1">
      <w:start w:val="1"/>
      <w:numFmt w:val="bullet"/>
      <w:lvlText w:val="o"/>
      <w:lvlJc w:val="left"/>
      <w:pPr>
        <w:ind w:left="2356" w:hanging="360"/>
      </w:pPr>
      <w:rPr>
        <w:rFonts w:ascii="Courier New" w:hAnsi="Courier New" w:cs="Courier New" w:hint="default"/>
      </w:rPr>
    </w:lvl>
    <w:lvl w:ilvl="2" w:tplc="040A0005" w:tentative="1">
      <w:start w:val="1"/>
      <w:numFmt w:val="bullet"/>
      <w:lvlText w:val=""/>
      <w:lvlJc w:val="left"/>
      <w:pPr>
        <w:ind w:left="3076" w:hanging="360"/>
      </w:pPr>
      <w:rPr>
        <w:rFonts w:ascii="Wingdings" w:hAnsi="Wingdings" w:hint="default"/>
      </w:rPr>
    </w:lvl>
    <w:lvl w:ilvl="3" w:tplc="040A0001" w:tentative="1">
      <w:start w:val="1"/>
      <w:numFmt w:val="bullet"/>
      <w:lvlText w:val=""/>
      <w:lvlJc w:val="left"/>
      <w:pPr>
        <w:ind w:left="3796" w:hanging="360"/>
      </w:pPr>
      <w:rPr>
        <w:rFonts w:ascii="Symbol" w:hAnsi="Symbol" w:hint="default"/>
      </w:rPr>
    </w:lvl>
    <w:lvl w:ilvl="4" w:tplc="040A0003" w:tentative="1">
      <w:start w:val="1"/>
      <w:numFmt w:val="bullet"/>
      <w:lvlText w:val="o"/>
      <w:lvlJc w:val="left"/>
      <w:pPr>
        <w:ind w:left="4516" w:hanging="360"/>
      </w:pPr>
      <w:rPr>
        <w:rFonts w:ascii="Courier New" w:hAnsi="Courier New" w:cs="Courier New" w:hint="default"/>
      </w:rPr>
    </w:lvl>
    <w:lvl w:ilvl="5" w:tplc="040A0005" w:tentative="1">
      <w:start w:val="1"/>
      <w:numFmt w:val="bullet"/>
      <w:lvlText w:val=""/>
      <w:lvlJc w:val="left"/>
      <w:pPr>
        <w:ind w:left="5236" w:hanging="360"/>
      </w:pPr>
      <w:rPr>
        <w:rFonts w:ascii="Wingdings" w:hAnsi="Wingdings" w:hint="default"/>
      </w:rPr>
    </w:lvl>
    <w:lvl w:ilvl="6" w:tplc="040A0001" w:tentative="1">
      <w:start w:val="1"/>
      <w:numFmt w:val="bullet"/>
      <w:lvlText w:val=""/>
      <w:lvlJc w:val="left"/>
      <w:pPr>
        <w:ind w:left="5956" w:hanging="360"/>
      </w:pPr>
      <w:rPr>
        <w:rFonts w:ascii="Symbol" w:hAnsi="Symbol" w:hint="default"/>
      </w:rPr>
    </w:lvl>
    <w:lvl w:ilvl="7" w:tplc="040A0003" w:tentative="1">
      <w:start w:val="1"/>
      <w:numFmt w:val="bullet"/>
      <w:lvlText w:val="o"/>
      <w:lvlJc w:val="left"/>
      <w:pPr>
        <w:ind w:left="6676" w:hanging="360"/>
      </w:pPr>
      <w:rPr>
        <w:rFonts w:ascii="Courier New" w:hAnsi="Courier New" w:cs="Courier New" w:hint="default"/>
      </w:rPr>
    </w:lvl>
    <w:lvl w:ilvl="8" w:tplc="040A0005" w:tentative="1">
      <w:start w:val="1"/>
      <w:numFmt w:val="bullet"/>
      <w:lvlText w:val=""/>
      <w:lvlJc w:val="left"/>
      <w:pPr>
        <w:ind w:left="7396" w:hanging="360"/>
      </w:pPr>
      <w:rPr>
        <w:rFonts w:ascii="Wingdings" w:hAnsi="Wingdings" w:hint="default"/>
      </w:rPr>
    </w:lvl>
  </w:abstractNum>
  <w:abstractNum w:abstractNumId="25">
    <w:nsid w:val="3F402A8E"/>
    <w:multiLevelType w:val="hybridMultilevel"/>
    <w:tmpl w:val="3F1C88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0A36896"/>
    <w:multiLevelType w:val="hybridMultilevel"/>
    <w:tmpl w:val="628C326C"/>
    <w:lvl w:ilvl="0" w:tplc="0C0A0005">
      <w:start w:val="1"/>
      <w:numFmt w:val="bullet"/>
      <w:lvlText w:val=""/>
      <w:lvlJc w:val="left"/>
      <w:pPr>
        <w:ind w:left="2448" w:hanging="360"/>
      </w:pPr>
      <w:rPr>
        <w:rFonts w:ascii="Wingdings" w:hAnsi="Wingdings" w:hint="default"/>
      </w:rPr>
    </w:lvl>
    <w:lvl w:ilvl="1" w:tplc="0C0A0003" w:tentative="1">
      <w:start w:val="1"/>
      <w:numFmt w:val="bullet"/>
      <w:lvlText w:val="o"/>
      <w:lvlJc w:val="left"/>
      <w:pPr>
        <w:ind w:left="3168" w:hanging="360"/>
      </w:pPr>
      <w:rPr>
        <w:rFonts w:ascii="Courier New" w:hAnsi="Courier New" w:cs="Courier New" w:hint="default"/>
      </w:rPr>
    </w:lvl>
    <w:lvl w:ilvl="2" w:tplc="0C0A0005" w:tentative="1">
      <w:start w:val="1"/>
      <w:numFmt w:val="bullet"/>
      <w:lvlText w:val=""/>
      <w:lvlJc w:val="left"/>
      <w:pPr>
        <w:ind w:left="3888" w:hanging="360"/>
      </w:pPr>
      <w:rPr>
        <w:rFonts w:ascii="Wingdings" w:hAnsi="Wingdings" w:hint="default"/>
      </w:rPr>
    </w:lvl>
    <w:lvl w:ilvl="3" w:tplc="0C0A0001" w:tentative="1">
      <w:start w:val="1"/>
      <w:numFmt w:val="bullet"/>
      <w:lvlText w:val=""/>
      <w:lvlJc w:val="left"/>
      <w:pPr>
        <w:ind w:left="4608" w:hanging="360"/>
      </w:pPr>
      <w:rPr>
        <w:rFonts w:ascii="Symbol" w:hAnsi="Symbol" w:hint="default"/>
      </w:rPr>
    </w:lvl>
    <w:lvl w:ilvl="4" w:tplc="0C0A0003" w:tentative="1">
      <w:start w:val="1"/>
      <w:numFmt w:val="bullet"/>
      <w:lvlText w:val="o"/>
      <w:lvlJc w:val="left"/>
      <w:pPr>
        <w:ind w:left="5328" w:hanging="360"/>
      </w:pPr>
      <w:rPr>
        <w:rFonts w:ascii="Courier New" w:hAnsi="Courier New" w:cs="Courier New" w:hint="default"/>
      </w:rPr>
    </w:lvl>
    <w:lvl w:ilvl="5" w:tplc="0C0A0005" w:tentative="1">
      <w:start w:val="1"/>
      <w:numFmt w:val="bullet"/>
      <w:lvlText w:val=""/>
      <w:lvlJc w:val="left"/>
      <w:pPr>
        <w:ind w:left="6048" w:hanging="360"/>
      </w:pPr>
      <w:rPr>
        <w:rFonts w:ascii="Wingdings" w:hAnsi="Wingdings" w:hint="default"/>
      </w:rPr>
    </w:lvl>
    <w:lvl w:ilvl="6" w:tplc="0C0A0001" w:tentative="1">
      <w:start w:val="1"/>
      <w:numFmt w:val="bullet"/>
      <w:lvlText w:val=""/>
      <w:lvlJc w:val="left"/>
      <w:pPr>
        <w:ind w:left="6768" w:hanging="360"/>
      </w:pPr>
      <w:rPr>
        <w:rFonts w:ascii="Symbol" w:hAnsi="Symbol" w:hint="default"/>
      </w:rPr>
    </w:lvl>
    <w:lvl w:ilvl="7" w:tplc="0C0A0003" w:tentative="1">
      <w:start w:val="1"/>
      <w:numFmt w:val="bullet"/>
      <w:lvlText w:val="o"/>
      <w:lvlJc w:val="left"/>
      <w:pPr>
        <w:ind w:left="7488" w:hanging="360"/>
      </w:pPr>
      <w:rPr>
        <w:rFonts w:ascii="Courier New" w:hAnsi="Courier New" w:cs="Courier New" w:hint="default"/>
      </w:rPr>
    </w:lvl>
    <w:lvl w:ilvl="8" w:tplc="0C0A0005" w:tentative="1">
      <w:start w:val="1"/>
      <w:numFmt w:val="bullet"/>
      <w:lvlText w:val=""/>
      <w:lvlJc w:val="left"/>
      <w:pPr>
        <w:ind w:left="8208" w:hanging="360"/>
      </w:pPr>
      <w:rPr>
        <w:rFonts w:ascii="Wingdings" w:hAnsi="Wingdings" w:hint="default"/>
      </w:rPr>
    </w:lvl>
  </w:abstractNum>
  <w:abstractNum w:abstractNumId="27">
    <w:nsid w:val="40F779D8"/>
    <w:multiLevelType w:val="hybridMultilevel"/>
    <w:tmpl w:val="5E765822"/>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28">
    <w:nsid w:val="41284C15"/>
    <w:multiLevelType w:val="multilevel"/>
    <w:tmpl w:val="1EC247C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5B90EF9"/>
    <w:multiLevelType w:val="hybridMultilevel"/>
    <w:tmpl w:val="7B38AC3A"/>
    <w:lvl w:ilvl="0" w:tplc="0C0A000D">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0">
    <w:nsid w:val="49016EEB"/>
    <w:multiLevelType w:val="hybridMultilevel"/>
    <w:tmpl w:val="5C86DC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4A5D2660"/>
    <w:multiLevelType w:val="hybridMultilevel"/>
    <w:tmpl w:val="2B1E7DA8"/>
    <w:lvl w:ilvl="0" w:tplc="0C0A0005">
      <w:start w:val="1"/>
      <w:numFmt w:val="bullet"/>
      <w:lvlText w:val=""/>
      <w:lvlJc w:val="left"/>
      <w:pPr>
        <w:ind w:left="2385" w:hanging="360"/>
      </w:pPr>
      <w:rPr>
        <w:rFonts w:ascii="Wingdings" w:hAnsi="Wingdings" w:hint="default"/>
      </w:rPr>
    </w:lvl>
    <w:lvl w:ilvl="1" w:tplc="0C0A0003" w:tentative="1">
      <w:start w:val="1"/>
      <w:numFmt w:val="bullet"/>
      <w:lvlText w:val="o"/>
      <w:lvlJc w:val="left"/>
      <w:pPr>
        <w:ind w:left="3105" w:hanging="360"/>
      </w:pPr>
      <w:rPr>
        <w:rFonts w:ascii="Courier New" w:hAnsi="Courier New" w:cs="Courier New" w:hint="default"/>
      </w:rPr>
    </w:lvl>
    <w:lvl w:ilvl="2" w:tplc="0C0A0005" w:tentative="1">
      <w:start w:val="1"/>
      <w:numFmt w:val="bullet"/>
      <w:lvlText w:val=""/>
      <w:lvlJc w:val="left"/>
      <w:pPr>
        <w:ind w:left="3825" w:hanging="360"/>
      </w:pPr>
      <w:rPr>
        <w:rFonts w:ascii="Wingdings" w:hAnsi="Wingdings" w:hint="default"/>
      </w:rPr>
    </w:lvl>
    <w:lvl w:ilvl="3" w:tplc="0C0A0001" w:tentative="1">
      <w:start w:val="1"/>
      <w:numFmt w:val="bullet"/>
      <w:lvlText w:val=""/>
      <w:lvlJc w:val="left"/>
      <w:pPr>
        <w:ind w:left="4545" w:hanging="360"/>
      </w:pPr>
      <w:rPr>
        <w:rFonts w:ascii="Symbol" w:hAnsi="Symbol" w:hint="default"/>
      </w:rPr>
    </w:lvl>
    <w:lvl w:ilvl="4" w:tplc="0C0A0003" w:tentative="1">
      <w:start w:val="1"/>
      <w:numFmt w:val="bullet"/>
      <w:lvlText w:val="o"/>
      <w:lvlJc w:val="left"/>
      <w:pPr>
        <w:ind w:left="5265" w:hanging="360"/>
      </w:pPr>
      <w:rPr>
        <w:rFonts w:ascii="Courier New" w:hAnsi="Courier New" w:cs="Courier New" w:hint="default"/>
      </w:rPr>
    </w:lvl>
    <w:lvl w:ilvl="5" w:tplc="0C0A0005" w:tentative="1">
      <w:start w:val="1"/>
      <w:numFmt w:val="bullet"/>
      <w:lvlText w:val=""/>
      <w:lvlJc w:val="left"/>
      <w:pPr>
        <w:ind w:left="5985" w:hanging="360"/>
      </w:pPr>
      <w:rPr>
        <w:rFonts w:ascii="Wingdings" w:hAnsi="Wingdings" w:hint="default"/>
      </w:rPr>
    </w:lvl>
    <w:lvl w:ilvl="6" w:tplc="0C0A0001" w:tentative="1">
      <w:start w:val="1"/>
      <w:numFmt w:val="bullet"/>
      <w:lvlText w:val=""/>
      <w:lvlJc w:val="left"/>
      <w:pPr>
        <w:ind w:left="6705" w:hanging="360"/>
      </w:pPr>
      <w:rPr>
        <w:rFonts w:ascii="Symbol" w:hAnsi="Symbol" w:hint="default"/>
      </w:rPr>
    </w:lvl>
    <w:lvl w:ilvl="7" w:tplc="0C0A0003" w:tentative="1">
      <w:start w:val="1"/>
      <w:numFmt w:val="bullet"/>
      <w:lvlText w:val="o"/>
      <w:lvlJc w:val="left"/>
      <w:pPr>
        <w:ind w:left="7425" w:hanging="360"/>
      </w:pPr>
      <w:rPr>
        <w:rFonts w:ascii="Courier New" w:hAnsi="Courier New" w:cs="Courier New" w:hint="default"/>
      </w:rPr>
    </w:lvl>
    <w:lvl w:ilvl="8" w:tplc="0C0A0005" w:tentative="1">
      <w:start w:val="1"/>
      <w:numFmt w:val="bullet"/>
      <w:lvlText w:val=""/>
      <w:lvlJc w:val="left"/>
      <w:pPr>
        <w:ind w:left="8145" w:hanging="360"/>
      </w:pPr>
      <w:rPr>
        <w:rFonts w:ascii="Wingdings" w:hAnsi="Wingdings" w:hint="default"/>
      </w:rPr>
    </w:lvl>
  </w:abstractNum>
  <w:abstractNum w:abstractNumId="32">
    <w:nsid w:val="55131155"/>
    <w:multiLevelType w:val="multilevel"/>
    <w:tmpl w:val="3F2CCA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7F17633"/>
    <w:multiLevelType w:val="multilevel"/>
    <w:tmpl w:val="9E8C12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82417EE"/>
    <w:multiLevelType w:val="multilevel"/>
    <w:tmpl w:val="97589E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AB238C3"/>
    <w:multiLevelType w:val="hybridMultilevel"/>
    <w:tmpl w:val="AA4EF0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5C5A2B51"/>
    <w:multiLevelType w:val="hybridMultilevel"/>
    <w:tmpl w:val="003C44E8"/>
    <w:lvl w:ilvl="0" w:tplc="0C0A0001">
      <w:start w:val="1"/>
      <w:numFmt w:val="bullet"/>
      <w:lvlText w:val=""/>
      <w:lvlJc w:val="left"/>
      <w:pPr>
        <w:ind w:left="1080" w:hanging="360"/>
      </w:pPr>
      <w:rPr>
        <w:rFonts w:ascii="Symbol" w:hAnsi="Symbol" w:hint="default"/>
      </w:rPr>
    </w:lvl>
    <w:lvl w:ilvl="1" w:tplc="0C0A0001">
      <w:start w:val="1"/>
      <w:numFmt w:val="bullet"/>
      <w:lvlText w:val=""/>
      <w:lvlJc w:val="left"/>
      <w:pPr>
        <w:ind w:left="1800" w:hanging="360"/>
      </w:pPr>
      <w:rPr>
        <w:rFonts w:ascii="Symbol" w:hAnsi="Symbol"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7">
    <w:nsid w:val="5E2C1B47"/>
    <w:multiLevelType w:val="hybridMultilevel"/>
    <w:tmpl w:val="99B89A6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1">
      <w:start w:val="1"/>
      <w:numFmt w:val="bullet"/>
      <w:lvlText w:val=""/>
      <w:lvlJc w:val="left"/>
      <w:pPr>
        <w:ind w:left="1070" w:hanging="360"/>
      </w:pPr>
      <w:rPr>
        <w:rFonts w:ascii="Symbol" w:hAnsi="Symbol" w:hint="default"/>
      </w:rPr>
    </w:lvl>
    <w:lvl w:ilvl="3" w:tplc="0C0A000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8">
    <w:nsid w:val="630F74C3"/>
    <w:multiLevelType w:val="hybridMultilevel"/>
    <w:tmpl w:val="6FDA8E3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39">
    <w:nsid w:val="643C1576"/>
    <w:multiLevelType w:val="hybridMultilevel"/>
    <w:tmpl w:val="119CF8F6"/>
    <w:lvl w:ilvl="0" w:tplc="0C0A000D">
      <w:start w:val="1"/>
      <w:numFmt w:val="bullet"/>
      <w:lvlText w:val=""/>
      <w:lvlJc w:val="left"/>
      <w:pPr>
        <w:ind w:left="3015" w:hanging="360"/>
      </w:pPr>
      <w:rPr>
        <w:rFonts w:ascii="Wingdings" w:hAnsi="Wingdings" w:hint="default"/>
      </w:rPr>
    </w:lvl>
    <w:lvl w:ilvl="1" w:tplc="0C0A0003" w:tentative="1">
      <w:start w:val="1"/>
      <w:numFmt w:val="bullet"/>
      <w:lvlText w:val="o"/>
      <w:lvlJc w:val="left"/>
      <w:pPr>
        <w:ind w:left="3735" w:hanging="360"/>
      </w:pPr>
      <w:rPr>
        <w:rFonts w:ascii="Courier New" w:hAnsi="Courier New" w:cs="Courier New" w:hint="default"/>
      </w:rPr>
    </w:lvl>
    <w:lvl w:ilvl="2" w:tplc="0C0A0005" w:tentative="1">
      <w:start w:val="1"/>
      <w:numFmt w:val="bullet"/>
      <w:lvlText w:val=""/>
      <w:lvlJc w:val="left"/>
      <w:pPr>
        <w:ind w:left="4455" w:hanging="360"/>
      </w:pPr>
      <w:rPr>
        <w:rFonts w:ascii="Wingdings" w:hAnsi="Wingdings" w:hint="default"/>
      </w:rPr>
    </w:lvl>
    <w:lvl w:ilvl="3" w:tplc="0C0A0001" w:tentative="1">
      <w:start w:val="1"/>
      <w:numFmt w:val="bullet"/>
      <w:lvlText w:val=""/>
      <w:lvlJc w:val="left"/>
      <w:pPr>
        <w:ind w:left="5175" w:hanging="360"/>
      </w:pPr>
      <w:rPr>
        <w:rFonts w:ascii="Symbol" w:hAnsi="Symbol" w:hint="default"/>
      </w:rPr>
    </w:lvl>
    <w:lvl w:ilvl="4" w:tplc="0C0A0003" w:tentative="1">
      <w:start w:val="1"/>
      <w:numFmt w:val="bullet"/>
      <w:lvlText w:val="o"/>
      <w:lvlJc w:val="left"/>
      <w:pPr>
        <w:ind w:left="5895" w:hanging="360"/>
      </w:pPr>
      <w:rPr>
        <w:rFonts w:ascii="Courier New" w:hAnsi="Courier New" w:cs="Courier New" w:hint="default"/>
      </w:rPr>
    </w:lvl>
    <w:lvl w:ilvl="5" w:tplc="0C0A0005" w:tentative="1">
      <w:start w:val="1"/>
      <w:numFmt w:val="bullet"/>
      <w:lvlText w:val=""/>
      <w:lvlJc w:val="left"/>
      <w:pPr>
        <w:ind w:left="6615" w:hanging="360"/>
      </w:pPr>
      <w:rPr>
        <w:rFonts w:ascii="Wingdings" w:hAnsi="Wingdings" w:hint="default"/>
      </w:rPr>
    </w:lvl>
    <w:lvl w:ilvl="6" w:tplc="0C0A0001" w:tentative="1">
      <w:start w:val="1"/>
      <w:numFmt w:val="bullet"/>
      <w:lvlText w:val=""/>
      <w:lvlJc w:val="left"/>
      <w:pPr>
        <w:ind w:left="7335" w:hanging="360"/>
      </w:pPr>
      <w:rPr>
        <w:rFonts w:ascii="Symbol" w:hAnsi="Symbol" w:hint="default"/>
      </w:rPr>
    </w:lvl>
    <w:lvl w:ilvl="7" w:tplc="0C0A0003" w:tentative="1">
      <w:start w:val="1"/>
      <w:numFmt w:val="bullet"/>
      <w:lvlText w:val="o"/>
      <w:lvlJc w:val="left"/>
      <w:pPr>
        <w:ind w:left="8055" w:hanging="360"/>
      </w:pPr>
      <w:rPr>
        <w:rFonts w:ascii="Courier New" w:hAnsi="Courier New" w:cs="Courier New" w:hint="default"/>
      </w:rPr>
    </w:lvl>
    <w:lvl w:ilvl="8" w:tplc="0C0A0005" w:tentative="1">
      <w:start w:val="1"/>
      <w:numFmt w:val="bullet"/>
      <w:lvlText w:val=""/>
      <w:lvlJc w:val="left"/>
      <w:pPr>
        <w:ind w:left="8775" w:hanging="360"/>
      </w:pPr>
      <w:rPr>
        <w:rFonts w:ascii="Wingdings" w:hAnsi="Wingdings" w:hint="default"/>
      </w:rPr>
    </w:lvl>
  </w:abstractNum>
  <w:abstractNum w:abstractNumId="40">
    <w:nsid w:val="6A965BED"/>
    <w:multiLevelType w:val="multilevel"/>
    <w:tmpl w:val="CBF85E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1F57A0"/>
    <w:multiLevelType w:val="multilevel"/>
    <w:tmpl w:val="A3D822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04E21F0"/>
    <w:multiLevelType w:val="hybridMultilevel"/>
    <w:tmpl w:val="095EACAC"/>
    <w:lvl w:ilvl="0" w:tplc="0C0A0001">
      <w:start w:val="1"/>
      <w:numFmt w:val="bullet"/>
      <w:lvlText w:val=""/>
      <w:lvlJc w:val="left"/>
      <w:pPr>
        <w:ind w:left="1571" w:hanging="360"/>
      </w:pPr>
      <w:rPr>
        <w:rFonts w:ascii="Symbol" w:hAnsi="Symbol" w:hint="default"/>
      </w:rPr>
    </w:lvl>
    <w:lvl w:ilvl="1" w:tplc="0C0A0003">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43">
    <w:nsid w:val="7B3B4703"/>
    <w:multiLevelType w:val="multilevel"/>
    <w:tmpl w:val="ED2E8C1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C3124B7"/>
    <w:multiLevelType w:val="multilevel"/>
    <w:tmpl w:val="624695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660F37"/>
    <w:multiLevelType w:val="hybridMultilevel"/>
    <w:tmpl w:val="E814C5B6"/>
    <w:lvl w:ilvl="0" w:tplc="0C0A0005">
      <w:start w:val="1"/>
      <w:numFmt w:val="bullet"/>
      <w:lvlText w:val=""/>
      <w:lvlJc w:val="left"/>
      <w:pPr>
        <w:ind w:left="2824" w:hanging="360"/>
      </w:pPr>
      <w:rPr>
        <w:rFonts w:ascii="Wingdings" w:hAnsi="Wingdings" w:hint="default"/>
      </w:rPr>
    </w:lvl>
    <w:lvl w:ilvl="1" w:tplc="0C0A0003" w:tentative="1">
      <w:start w:val="1"/>
      <w:numFmt w:val="bullet"/>
      <w:lvlText w:val="o"/>
      <w:lvlJc w:val="left"/>
      <w:pPr>
        <w:ind w:left="3544" w:hanging="360"/>
      </w:pPr>
      <w:rPr>
        <w:rFonts w:ascii="Courier New" w:hAnsi="Courier New" w:cs="Courier New" w:hint="default"/>
      </w:rPr>
    </w:lvl>
    <w:lvl w:ilvl="2" w:tplc="0C0A0005" w:tentative="1">
      <w:start w:val="1"/>
      <w:numFmt w:val="bullet"/>
      <w:lvlText w:val=""/>
      <w:lvlJc w:val="left"/>
      <w:pPr>
        <w:ind w:left="4264" w:hanging="360"/>
      </w:pPr>
      <w:rPr>
        <w:rFonts w:ascii="Wingdings" w:hAnsi="Wingdings" w:hint="default"/>
      </w:rPr>
    </w:lvl>
    <w:lvl w:ilvl="3" w:tplc="0C0A0001" w:tentative="1">
      <w:start w:val="1"/>
      <w:numFmt w:val="bullet"/>
      <w:lvlText w:val=""/>
      <w:lvlJc w:val="left"/>
      <w:pPr>
        <w:ind w:left="4984" w:hanging="360"/>
      </w:pPr>
      <w:rPr>
        <w:rFonts w:ascii="Symbol" w:hAnsi="Symbol" w:hint="default"/>
      </w:rPr>
    </w:lvl>
    <w:lvl w:ilvl="4" w:tplc="0C0A0003" w:tentative="1">
      <w:start w:val="1"/>
      <w:numFmt w:val="bullet"/>
      <w:lvlText w:val="o"/>
      <w:lvlJc w:val="left"/>
      <w:pPr>
        <w:ind w:left="5704" w:hanging="360"/>
      </w:pPr>
      <w:rPr>
        <w:rFonts w:ascii="Courier New" w:hAnsi="Courier New" w:cs="Courier New" w:hint="default"/>
      </w:rPr>
    </w:lvl>
    <w:lvl w:ilvl="5" w:tplc="0C0A0005" w:tentative="1">
      <w:start w:val="1"/>
      <w:numFmt w:val="bullet"/>
      <w:lvlText w:val=""/>
      <w:lvlJc w:val="left"/>
      <w:pPr>
        <w:ind w:left="6424" w:hanging="360"/>
      </w:pPr>
      <w:rPr>
        <w:rFonts w:ascii="Wingdings" w:hAnsi="Wingdings" w:hint="default"/>
      </w:rPr>
    </w:lvl>
    <w:lvl w:ilvl="6" w:tplc="0C0A0001" w:tentative="1">
      <w:start w:val="1"/>
      <w:numFmt w:val="bullet"/>
      <w:lvlText w:val=""/>
      <w:lvlJc w:val="left"/>
      <w:pPr>
        <w:ind w:left="7144" w:hanging="360"/>
      </w:pPr>
      <w:rPr>
        <w:rFonts w:ascii="Symbol" w:hAnsi="Symbol" w:hint="default"/>
      </w:rPr>
    </w:lvl>
    <w:lvl w:ilvl="7" w:tplc="0C0A0003" w:tentative="1">
      <w:start w:val="1"/>
      <w:numFmt w:val="bullet"/>
      <w:lvlText w:val="o"/>
      <w:lvlJc w:val="left"/>
      <w:pPr>
        <w:ind w:left="7864" w:hanging="360"/>
      </w:pPr>
      <w:rPr>
        <w:rFonts w:ascii="Courier New" w:hAnsi="Courier New" w:cs="Courier New" w:hint="default"/>
      </w:rPr>
    </w:lvl>
    <w:lvl w:ilvl="8" w:tplc="0C0A0005" w:tentative="1">
      <w:start w:val="1"/>
      <w:numFmt w:val="bullet"/>
      <w:lvlText w:val=""/>
      <w:lvlJc w:val="left"/>
      <w:pPr>
        <w:ind w:left="8584" w:hanging="360"/>
      </w:pPr>
      <w:rPr>
        <w:rFonts w:ascii="Wingdings" w:hAnsi="Wingdings" w:hint="default"/>
      </w:rPr>
    </w:lvl>
  </w:abstractNum>
  <w:abstractNum w:abstractNumId="46">
    <w:nsid w:val="7E915067"/>
    <w:multiLevelType w:val="hybridMultilevel"/>
    <w:tmpl w:val="95BA8480"/>
    <w:lvl w:ilvl="0" w:tplc="0C0A0001">
      <w:start w:val="1"/>
      <w:numFmt w:val="bullet"/>
      <w:lvlText w:val=""/>
      <w:lvlJc w:val="left"/>
      <w:pPr>
        <w:ind w:left="1070" w:hanging="360"/>
      </w:pPr>
      <w:rPr>
        <w:rFonts w:ascii="Symbol" w:hAnsi="Symbol" w:hint="default"/>
      </w:rPr>
    </w:lvl>
    <w:lvl w:ilvl="1" w:tplc="0C0A0003">
      <w:start w:val="1"/>
      <w:numFmt w:val="bullet"/>
      <w:lvlText w:val="o"/>
      <w:lvlJc w:val="left"/>
      <w:pPr>
        <w:ind w:left="1790" w:hanging="360"/>
      </w:pPr>
      <w:rPr>
        <w:rFonts w:ascii="Courier New" w:hAnsi="Courier New" w:cs="Courier New" w:hint="default"/>
      </w:rPr>
    </w:lvl>
    <w:lvl w:ilvl="2" w:tplc="0C0A0001">
      <w:start w:val="1"/>
      <w:numFmt w:val="bullet"/>
      <w:lvlText w:val=""/>
      <w:lvlJc w:val="left"/>
      <w:pPr>
        <w:ind w:left="2510" w:hanging="360"/>
      </w:pPr>
      <w:rPr>
        <w:rFonts w:ascii="Symbol" w:hAnsi="Symbol" w:hint="default"/>
      </w:rPr>
    </w:lvl>
    <w:lvl w:ilvl="3" w:tplc="0C0A000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47">
    <w:nsid w:val="7EBE262F"/>
    <w:multiLevelType w:val="hybridMultilevel"/>
    <w:tmpl w:val="3CD403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11"/>
  </w:num>
  <w:num w:numId="5">
    <w:abstractNumId w:val="20"/>
  </w:num>
  <w:num w:numId="6">
    <w:abstractNumId w:val="9"/>
  </w:num>
  <w:num w:numId="7">
    <w:abstractNumId w:val="41"/>
  </w:num>
  <w:num w:numId="8">
    <w:abstractNumId w:val="22"/>
  </w:num>
  <w:num w:numId="9">
    <w:abstractNumId w:val="32"/>
  </w:num>
  <w:num w:numId="10">
    <w:abstractNumId w:val="8"/>
  </w:num>
  <w:num w:numId="11">
    <w:abstractNumId w:val="5"/>
  </w:num>
  <w:num w:numId="12">
    <w:abstractNumId w:val="40"/>
  </w:num>
  <w:num w:numId="13">
    <w:abstractNumId w:val="12"/>
  </w:num>
  <w:num w:numId="14">
    <w:abstractNumId w:val="18"/>
  </w:num>
  <w:num w:numId="15">
    <w:abstractNumId w:val="34"/>
  </w:num>
  <w:num w:numId="16">
    <w:abstractNumId w:val="33"/>
  </w:num>
  <w:num w:numId="17">
    <w:abstractNumId w:val="4"/>
  </w:num>
  <w:num w:numId="18">
    <w:abstractNumId w:val="6"/>
  </w:num>
  <w:num w:numId="19">
    <w:abstractNumId w:val="43"/>
  </w:num>
  <w:num w:numId="20">
    <w:abstractNumId w:val="44"/>
  </w:num>
  <w:num w:numId="21">
    <w:abstractNumId w:val="28"/>
  </w:num>
  <w:num w:numId="22">
    <w:abstractNumId w:val="21"/>
  </w:num>
  <w:num w:numId="23">
    <w:abstractNumId w:val="13"/>
  </w:num>
  <w:num w:numId="24">
    <w:abstractNumId w:val="15"/>
  </w:num>
  <w:num w:numId="25">
    <w:abstractNumId w:val="29"/>
  </w:num>
  <w:num w:numId="26">
    <w:abstractNumId w:val="3"/>
  </w:num>
  <w:num w:numId="27">
    <w:abstractNumId w:val="26"/>
  </w:num>
  <w:num w:numId="28">
    <w:abstractNumId w:val="24"/>
  </w:num>
  <w:num w:numId="29">
    <w:abstractNumId w:val="31"/>
  </w:num>
  <w:num w:numId="30">
    <w:abstractNumId w:val="27"/>
  </w:num>
  <w:num w:numId="31">
    <w:abstractNumId w:val="38"/>
  </w:num>
  <w:num w:numId="32">
    <w:abstractNumId w:val="45"/>
  </w:num>
  <w:num w:numId="33">
    <w:abstractNumId w:val="19"/>
  </w:num>
  <w:num w:numId="34">
    <w:abstractNumId w:val="17"/>
  </w:num>
  <w:num w:numId="35">
    <w:abstractNumId w:val="42"/>
  </w:num>
  <w:num w:numId="36">
    <w:abstractNumId w:val="39"/>
  </w:num>
  <w:num w:numId="37">
    <w:abstractNumId w:val="36"/>
  </w:num>
  <w:num w:numId="38">
    <w:abstractNumId w:val="37"/>
  </w:num>
  <w:num w:numId="39">
    <w:abstractNumId w:val="46"/>
  </w:num>
  <w:num w:numId="40">
    <w:abstractNumId w:val="47"/>
  </w:num>
  <w:num w:numId="41">
    <w:abstractNumId w:val="30"/>
  </w:num>
  <w:num w:numId="42">
    <w:abstractNumId w:val="35"/>
  </w:num>
  <w:num w:numId="43">
    <w:abstractNumId w:val="2"/>
  </w:num>
  <w:num w:numId="44">
    <w:abstractNumId w:val="23"/>
  </w:num>
  <w:num w:numId="45">
    <w:abstractNumId w:val="14"/>
  </w:num>
  <w:num w:numId="46">
    <w:abstractNumId w:val="16"/>
  </w:num>
  <w:num w:numId="47">
    <w:abstractNumId w:val="10"/>
  </w:num>
  <w:num w:numId="48">
    <w:abstractNumId w:val="7"/>
  </w:num>
  <w:num w:numId="49">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
  <w:hyphenationZone w:val="425"/>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4AF"/>
    <w:rsid w:val="000019EB"/>
    <w:rsid w:val="00005BF4"/>
    <w:rsid w:val="00006318"/>
    <w:rsid w:val="00011B3E"/>
    <w:rsid w:val="0001206A"/>
    <w:rsid w:val="00012305"/>
    <w:rsid w:val="00014804"/>
    <w:rsid w:val="00014A13"/>
    <w:rsid w:val="00014D4D"/>
    <w:rsid w:val="00014FF7"/>
    <w:rsid w:val="00020C8F"/>
    <w:rsid w:val="00025AD7"/>
    <w:rsid w:val="000263A9"/>
    <w:rsid w:val="00027CD3"/>
    <w:rsid w:val="00031119"/>
    <w:rsid w:val="00031B13"/>
    <w:rsid w:val="0003217A"/>
    <w:rsid w:val="00034960"/>
    <w:rsid w:val="0003575A"/>
    <w:rsid w:val="000378A6"/>
    <w:rsid w:val="000416AE"/>
    <w:rsid w:val="00041E1D"/>
    <w:rsid w:val="00045B5D"/>
    <w:rsid w:val="00051372"/>
    <w:rsid w:val="000565EB"/>
    <w:rsid w:val="00056A15"/>
    <w:rsid w:val="00056CF3"/>
    <w:rsid w:val="00060922"/>
    <w:rsid w:val="00061C2D"/>
    <w:rsid w:val="00061C4A"/>
    <w:rsid w:val="000624D7"/>
    <w:rsid w:val="00065B2E"/>
    <w:rsid w:val="00070320"/>
    <w:rsid w:val="00071521"/>
    <w:rsid w:val="0007181C"/>
    <w:rsid w:val="00073584"/>
    <w:rsid w:val="00075E3E"/>
    <w:rsid w:val="00077EBA"/>
    <w:rsid w:val="00082A48"/>
    <w:rsid w:val="000835EA"/>
    <w:rsid w:val="00083753"/>
    <w:rsid w:val="000908F9"/>
    <w:rsid w:val="0009147D"/>
    <w:rsid w:val="00092CB6"/>
    <w:rsid w:val="00094AFF"/>
    <w:rsid w:val="000956AF"/>
    <w:rsid w:val="00096C52"/>
    <w:rsid w:val="00097137"/>
    <w:rsid w:val="000A23BD"/>
    <w:rsid w:val="000A3250"/>
    <w:rsid w:val="000A3409"/>
    <w:rsid w:val="000A3BD2"/>
    <w:rsid w:val="000A3BF2"/>
    <w:rsid w:val="000A6DEF"/>
    <w:rsid w:val="000A73AD"/>
    <w:rsid w:val="000A76D6"/>
    <w:rsid w:val="000B0D29"/>
    <w:rsid w:val="000B0E89"/>
    <w:rsid w:val="000B5458"/>
    <w:rsid w:val="000B5BE5"/>
    <w:rsid w:val="000B5EE8"/>
    <w:rsid w:val="000B6800"/>
    <w:rsid w:val="000B7256"/>
    <w:rsid w:val="000C074F"/>
    <w:rsid w:val="000C0AF7"/>
    <w:rsid w:val="000C4B04"/>
    <w:rsid w:val="000C5C57"/>
    <w:rsid w:val="000D1313"/>
    <w:rsid w:val="000D2DAC"/>
    <w:rsid w:val="000D7EEF"/>
    <w:rsid w:val="000E0727"/>
    <w:rsid w:val="000E4C2E"/>
    <w:rsid w:val="000E50FE"/>
    <w:rsid w:val="000E5E4B"/>
    <w:rsid w:val="000E60FB"/>
    <w:rsid w:val="000E67A4"/>
    <w:rsid w:val="000E6B46"/>
    <w:rsid w:val="000E79B5"/>
    <w:rsid w:val="000E79FE"/>
    <w:rsid w:val="000E7A3B"/>
    <w:rsid w:val="000F15B7"/>
    <w:rsid w:val="000F3AFE"/>
    <w:rsid w:val="000F4B0A"/>
    <w:rsid w:val="000F4FE2"/>
    <w:rsid w:val="000F6DDD"/>
    <w:rsid w:val="001033D9"/>
    <w:rsid w:val="00107A35"/>
    <w:rsid w:val="00113F23"/>
    <w:rsid w:val="00115C66"/>
    <w:rsid w:val="00120C6C"/>
    <w:rsid w:val="0012475F"/>
    <w:rsid w:val="00124FE3"/>
    <w:rsid w:val="00126CF9"/>
    <w:rsid w:val="00126E9F"/>
    <w:rsid w:val="00127CC1"/>
    <w:rsid w:val="001304DE"/>
    <w:rsid w:val="00130AE2"/>
    <w:rsid w:val="0013256C"/>
    <w:rsid w:val="00133DA0"/>
    <w:rsid w:val="0013605B"/>
    <w:rsid w:val="001373C7"/>
    <w:rsid w:val="00141379"/>
    <w:rsid w:val="00141909"/>
    <w:rsid w:val="00141C3E"/>
    <w:rsid w:val="0014374E"/>
    <w:rsid w:val="0014530E"/>
    <w:rsid w:val="00145401"/>
    <w:rsid w:val="00146117"/>
    <w:rsid w:val="0014682C"/>
    <w:rsid w:val="00147191"/>
    <w:rsid w:val="00147F85"/>
    <w:rsid w:val="00156F60"/>
    <w:rsid w:val="001627B6"/>
    <w:rsid w:val="00162A83"/>
    <w:rsid w:val="00163262"/>
    <w:rsid w:val="00163AA8"/>
    <w:rsid w:val="00164712"/>
    <w:rsid w:val="00165A93"/>
    <w:rsid w:val="001660FE"/>
    <w:rsid w:val="001676B8"/>
    <w:rsid w:val="001705BA"/>
    <w:rsid w:val="0017081B"/>
    <w:rsid w:val="0017467D"/>
    <w:rsid w:val="0017495C"/>
    <w:rsid w:val="0017773D"/>
    <w:rsid w:val="00180485"/>
    <w:rsid w:val="0018401A"/>
    <w:rsid w:val="00184CAD"/>
    <w:rsid w:val="001946F1"/>
    <w:rsid w:val="001947B7"/>
    <w:rsid w:val="001972E0"/>
    <w:rsid w:val="00197727"/>
    <w:rsid w:val="00197F67"/>
    <w:rsid w:val="001A030C"/>
    <w:rsid w:val="001A0F8D"/>
    <w:rsid w:val="001A37EB"/>
    <w:rsid w:val="001A599B"/>
    <w:rsid w:val="001A7C5E"/>
    <w:rsid w:val="001B117D"/>
    <w:rsid w:val="001B17BF"/>
    <w:rsid w:val="001B2155"/>
    <w:rsid w:val="001B3C73"/>
    <w:rsid w:val="001B5728"/>
    <w:rsid w:val="001C2E4F"/>
    <w:rsid w:val="001C3FCC"/>
    <w:rsid w:val="001C4C93"/>
    <w:rsid w:val="001C5525"/>
    <w:rsid w:val="001C6A5F"/>
    <w:rsid w:val="001D2C7D"/>
    <w:rsid w:val="001D2E78"/>
    <w:rsid w:val="001D3321"/>
    <w:rsid w:val="001D3805"/>
    <w:rsid w:val="001D4A8C"/>
    <w:rsid w:val="001E0E0D"/>
    <w:rsid w:val="001E3C44"/>
    <w:rsid w:val="001E57CC"/>
    <w:rsid w:val="001E6BDE"/>
    <w:rsid w:val="001E704E"/>
    <w:rsid w:val="001F03B8"/>
    <w:rsid w:val="001F16BA"/>
    <w:rsid w:val="001F1EDE"/>
    <w:rsid w:val="001F2DD4"/>
    <w:rsid w:val="001F3A26"/>
    <w:rsid w:val="001F5DA2"/>
    <w:rsid w:val="001F5EDE"/>
    <w:rsid w:val="001F6021"/>
    <w:rsid w:val="00200B8D"/>
    <w:rsid w:val="00200C9B"/>
    <w:rsid w:val="0020363D"/>
    <w:rsid w:val="002050BD"/>
    <w:rsid w:val="0020576C"/>
    <w:rsid w:val="00205A7A"/>
    <w:rsid w:val="0020757E"/>
    <w:rsid w:val="00210FD6"/>
    <w:rsid w:val="002128E2"/>
    <w:rsid w:val="00214665"/>
    <w:rsid w:val="002247A0"/>
    <w:rsid w:val="002264D2"/>
    <w:rsid w:val="0022737D"/>
    <w:rsid w:val="00230E45"/>
    <w:rsid w:val="00233DF3"/>
    <w:rsid w:val="00234D11"/>
    <w:rsid w:val="00235AB0"/>
    <w:rsid w:val="002400A4"/>
    <w:rsid w:val="00240E1F"/>
    <w:rsid w:val="002414D4"/>
    <w:rsid w:val="00241FF4"/>
    <w:rsid w:val="00247412"/>
    <w:rsid w:val="00253A17"/>
    <w:rsid w:val="00253F01"/>
    <w:rsid w:val="0025692C"/>
    <w:rsid w:val="00256E7A"/>
    <w:rsid w:val="00261200"/>
    <w:rsid w:val="00262C58"/>
    <w:rsid w:val="0026681D"/>
    <w:rsid w:val="0026753D"/>
    <w:rsid w:val="00272D77"/>
    <w:rsid w:val="002744AF"/>
    <w:rsid w:val="00274652"/>
    <w:rsid w:val="00274C34"/>
    <w:rsid w:val="00276B2C"/>
    <w:rsid w:val="00277CDE"/>
    <w:rsid w:val="00280FB0"/>
    <w:rsid w:val="00284ED5"/>
    <w:rsid w:val="00287342"/>
    <w:rsid w:val="00287988"/>
    <w:rsid w:val="00287A72"/>
    <w:rsid w:val="002915A6"/>
    <w:rsid w:val="00293392"/>
    <w:rsid w:val="002950B0"/>
    <w:rsid w:val="0029595E"/>
    <w:rsid w:val="00296042"/>
    <w:rsid w:val="00297B01"/>
    <w:rsid w:val="002A068D"/>
    <w:rsid w:val="002A26DB"/>
    <w:rsid w:val="002A5896"/>
    <w:rsid w:val="002A64C4"/>
    <w:rsid w:val="002B0739"/>
    <w:rsid w:val="002B237E"/>
    <w:rsid w:val="002B24A8"/>
    <w:rsid w:val="002B343B"/>
    <w:rsid w:val="002B3756"/>
    <w:rsid w:val="002B5076"/>
    <w:rsid w:val="002B5D9F"/>
    <w:rsid w:val="002B7430"/>
    <w:rsid w:val="002C0631"/>
    <w:rsid w:val="002C2D06"/>
    <w:rsid w:val="002C5166"/>
    <w:rsid w:val="002C61EA"/>
    <w:rsid w:val="002C6C22"/>
    <w:rsid w:val="002D2518"/>
    <w:rsid w:val="002D4C83"/>
    <w:rsid w:val="002D6730"/>
    <w:rsid w:val="002E05BF"/>
    <w:rsid w:val="002E14EE"/>
    <w:rsid w:val="002E2362"/>
    <w:rsid w:val="002E4297"/>
    <w:rsid w:val="002E60AA"/>
    <w:rsid w:val="002F1DA3"/>
    <w:rsid w:val="002F3068"/>
    <w:rsid w:val="002F3B43"/>
    <w:rsid w:val="002F7418"/>
    <w:rsid w:val="002F7B7F"/>
    <w:rsid w:val="00301CF5"/>
    <w:rsid w:val="0030562E"/>
    <w:rsid w:val="0030636A"/>
    <w:rsid w:val="00306662"/>
    <w:rsid w:val="0030777E"/>
    <w:rsid w:val="003100A2"/>
    <w:rsid w:val="00313E60"/>
    <w:rsid w:val="00316636"/>
    <w:rsid w:val="003166E6"/>
    <w:rsid w:val="00317D32"/>
    <w:rsid w:val="0032062F"/>
    <w:rsid w:val="003226D1"/>
    <w:rsid w:val="00322755"/>
    <w:rsid w:val="00323B43"/>
    <w:rsid w:val="003300C2"/>
    <w:rsid w:val="00330755"/>
    <w:rsid w:val="003328EB"/>
    <w:rsid w:val="00334567"/>
    <w:rsid w:val="00335648"/>
    <w:rsid w:val="00337714"/>
    <w:rsid w:val="00337CBD"/>
    <w:rsid w:val="00340438"/>
    <w:rsid w:val="00342A1C"/>
    <w:rsid w:val="0034732C"/>
    <w:rsid w:val="00347C44"/>
    <w:rsid w:val="003524C5"/>
    <w:rsid w:val="003567B3"/>
    <w:rsid w:val="00356C58"/>
    <w:rsid w:val="00363A1A"/>
    <w:rsid w:val="0036537A"/>
    <w:rsid w:val="00367D05"/>
    <w:rsid w:val="00367E5A"/>
    <w:rsid w:val="00367F10"/>
    <w:rsid w:val="0037113D"/>
    <w:rsid w:val="003713D1"/>
    <w:rsid w:val="00371475"/>
    <w:rsid w:val="0037151B"/>
    <w:rsid w:val="003746A5"/>
    <w:rsid w:val="00374892"/>
    <w:rsid w:val="00375176"/>
    <w:rsid w:val="0038131A"/>
    <w:rsid w:val="00384707"/>
    <w:rsid w:val="0038515E"/>
    <w:rsid w:val="003853F0"/>
    <w:rsid w:val="00386C61"/>
    <w:rsid w:val="003877B8"/>
    <w:rsid w:val="00391AC2"/>
    <w:rsid w:val="0039222A"/>
    <w:rsid w:val="0039714D"/>
    <w:rsid w:val="00397A17"/>
    <w:rsid w:val="003A015C"/>
    <w:rsid w:val="003A02F6"/>
    <w:rsid w:val="003A1018"/>
    <w:rsid w:val="003A2634"/>
    <w:rsid w:val="003A2901"/>
    <w:rsid w:val="003A6098"/>
    <w:rsid w:val="003B0E89"/>
    <w:rsid w:val="003B1EAA"/>
    <w:rsid w:val="003B202A"/>
    <w:rsid w:val="003B4943"/>
    <w:rsid w:val="003B515C"/>
    <w:rsid w:val="003B6AA1"/>
    <w:rsid w:val="003C2D7F"/>
    <w:rsid w:val="003C6105"/>
    <w:rsid w:val="003C771F"/>
    <w:rsid w:val="003C7908"/>
    <w:rsid w:val="003D146A"/>
    <w:rsid w:val="003D6883"/>
    <w:rsid w:val="003D725D"/>
    <w:rsid w:val="003D797C"/>
    <w:rsid w:val="003E170F"/>
    <w:rsid w:val="003E442E"/>
    <w:rsid w:val="003E49F4"/>
    <w:rsid w:val="003E4DE9"/>
    <w:rsid w:val="003E6A7A"/>
    <w:rsid w:val="003E7A80"/>
    <w:rsid w:val="003F2EFA"/>
    <w:rsid w:val="003F4F9A"/>
    <w:rsid w:val="00400B32"/>
    <w:rsid w:val="004038DD"/>
    <w:rsid w:val="00403C9B"/>
    <w:rsid w:val="00405175"/>
    <w:rsid w:val="00411185"/>
    <w:rsid w:val="004146E9"/>
    <w:rsid w:val="00414A9C"/>
    <w:rsid w:val="004153AD"/>
    <w:rsid w:val="004157E6"/>
    <w:rsid w:val="0042098F"/>
    <w:rsid w:val="00434344"/>
    <w:rsid w:val="00434B90"/>
    <w:rsid w:val="004369F1"/>
    <w:rsid w:val="004407CB"/>
    <w:rsid w:val="00442BA8"/>
    <w:rsid w:val="00443412"/>
    <w:rsid w:val="00443BFD"/>
    <w:rsid w:val="00444703"/>
    <w:rsid w:val="004458F2"/>
    <w:rsid w:val="00446551"/>
    <w:rsid w:val="00447F4F"/>
    <w:rsid w:val="0045144D"/>
    <w:rsid w:val="004518E5"/>
    <w:rsid w:val="00451DBD"/>
    <w:rsid w:val="00454D4F"/>
    <w:rsid w:val="00455C3C"/>
    <w:rsid w:val="00455F81"/>
    <w:rsid w:val="00456755"/>
    <w:rsid w:val="00456828"/>
    <w:rsid w:val="0045689D"/>
    <w:rsid w:val="004602EA"/>
    <w:rsid w:val="004613E1"/>
    <w:rsid w:val="00462CC6"/>
    <w:rsid w:val="00463536"/>
    <w:rsid w:val="00464187"/>
    <w:rsid w:val="004643AE"/>
    <w:rsid w:val="004656B2"/>
    <w:rsid w:val="00465FB7"/>
    <w:rsid w:val="004668E8"/>
    <w:rsid w:val="00470977"/>
    <w:rsid w:val="00471E20"/>
    <w:rsid w:val="004730F8"/>
    <w:rsid w:val="00473B53"/>
    <w:rsid w:val="00473D1F"/>
    <w:rsid w:val="004757B7"/>
    <w:rsid w:val="00476B55"/>
    <w:rsid w:val="00477485"/>
    <w:rsid w:val="00480788"/>
    <w:rsid w:val="004813F3"/>
    <w:rsid w:val="00481B4A"/>
    <w:rsid w:val="00481F25"/>
    <w:rsid w:val="00482E92"/>
    <w:rsid w:val="00483F69"/>
    <w:rsid w:val="00484098"/>
    <w:rsid w:val="0048470D"/>
    <w:rsid w:val="00485F20"/>
    <w:rsid w:val="00486640"/>
    <w:rsid w:val="00487F54"/>
    <w:rsid w:val="00496C10"/>
    <w:rsid w:val="00497CF3"/>
    <w:rsid w:val="004A0DCF"/>
    <w:rsid w:val="004A28B9"/>
    <w:rsid w:val="004A3CFC"/>
    <w:rsid w:val="004A407A"/>
    <w:rsid w:val="004A75D2"/>
    <w:rsid w:val="004A7A5A"/>
    <w:rsid w:val="004A7B06"/>
    <w:rsid w:val="004A7D8C"/>
    <w:rsid w:val="004B0354"/>
    <w:rsid w:val="004B209D"/>
    <w:rsid w:val="004B4189"/>
    <w:rsid w:val="004B49A4"/>
    <w:rsid w:val="004B49F1"/>
    <w:rsid w:val="004B6197"/>
    <w:rsid w:val="004B7EDE"/>
    <w:rsid w:val="004C0897"/>
    <w:rsid w:val="004C1AD7"/>
    <w:rsid w:val="004C423A"/>
    <w:rsid w:val="004C5918"/>
    <w:rsid w:val="004C682C"/>
    <w:rsid w:val="004C7109"/>
    <w:rsid w:val="004C779F"/>
    <w:rsid w:val="004C7DAE"/>
    <w:rsid w:val="004D0C4D"/>
    <w:rsid w:val="004D24CE"/>
    <w:rsid w:val="004D4DB2"/>
    <w:rsid w:val="004D58EA"/>
    <w:rsid w:val="004D598C"/>
    <w:rsid w:val="004D660B"/>
    <w:rsid w:val="004E1367"/>
    <w:rsid w:val="004E2D5F"/>
    <w:rsid w:val="004E733F"/>
    <w:rsid w:val="004F0A86"/>
    <w:rsid w:val="004F143A"/>
    <w:rsid w:val="004F2E2B"/>
    <w:rsid w:val="004F32B5"/>
    <w:rsid w:val="004F3E34"/>
    <w:rsid w:val="005032EE"/>
    <w:rsid w:val="00503DE8"/>
    <w:rsid w:val="005131F8"/>
    <w:rsid w:val="00513F3C"/>
    <w:rsid w:val="00517A53"/>
    <w:rsid w:val="00520849"/>
    <w:rsid w:val="00521736"/>
    <w:rsid w:val="00521AD1"/>
    <w:rsid w:val="00523B08"/>
    <w:rsid w:val="005249FB"/>
    <w:rsid w:val="005251E2"/>
    <w:rsid w:val="00530157"/>
    <w:rsid w:val="00531933"/>
    <w:rsid w:val="00531E6E"/>
    <w:rsid w:val="00532D76"/>
    <w:rsid w:val="00537563"/>
    <w:rsid w:val="00537B83"/>
    <w:rsid w:val="0054091A"/>
    <w:rsid w:val="005425BC"/>
    <w:rsid w:val="0054525B"/>
    <w:rsid w:val="00545359"/>
    <w:rsid w:val="00545DCD"/>
    <w:rsid w:val="005475AB"/>
    <w:rsid w:val="00551398"/>
    <w:rsid w:val="00552B6F"/>
    <w:rsid w:val="0055569B"/>
    <w:rsid w:val="00561246"/>
    <w:rsid w:val="005625DC"/>
    <w:rsid w:val="00572F4A"/>
    <w:rsid w:val="0057316B"/>
    <w:rsid w:val="005753ED"/>
    <w:rsid w:val="0057541A"/>
    <w:rsid w:val="0057649A"/>
    <w:rsid w:val="005767F8"/>
    <w:rsid w:val="005812FF"/>
    <w:rsid w:val="00581D8A"/>
    <w:rsid w:val="00583BCA"/>
    <w:rsid w:val="00585C6D"/>
    <w:rsid w:val="00587557"/>
    <w:rsid w:val="005900F6"/>
    <w:rsid w:val="00590A04"/>
    <w:rsid w:val="00590F0B"/>
    <w:rsid w:val="0059445D"/>
    <w:rsid w:val="005A0DC5"/>
    <w:rsid w:val="005A1968"/>
    <w:rsid w:val="005A20F6"/>
    <w:rsid w:val="005A2D14"/>
    <w:rsid w:val="005A7463"/>
    <w:rsid w:val="005B1685"/>
    <w:rsid w:val="005B5565"/>
    <w:rsid w:val="005B57FA"/>
    <w:rsid w:val="005B6942"/>
    <w:rsid w:val="005B6A43"/>
    <w:rsid w:val="005B73EC"/>
    <w:rsid w:val="005B79AB"/>
    <w:rsid w:val="005C281A"/>
    <w:rsid w:val="005C4EE8"/>
    <w:rsid w:val="005C5669"/>
    <w:rsid w:val="005C5DAC"/>
    <w:rsid w:val="005C5F53"/>
    <w:rsid w:val="005C6BA8"/>
    <w:rsid w:val="005C7AD7"/>
    <w:rsid w:val="005D74F2"/>
    <w:rsid w:val="005D7C2E"/>
    <w:rsid w:val="005E008D"/>
    <w:rsid w:val="005E481B"/>
    <w:rsid w:val="005E4E94"/>
    <w:rsid w:val="005E74BE"/>
    <w:rsid w:val="005E7C43"/>
    <w:rsid w:val="005F032C"/>
    <w:rsid w:val="005F147F"/>
    <w:rsid w:val="005F2031"/>
    <w:rsid w:val="005F22BF"/>
    <w:rsid w:val="005F36F5"/>
    <w:rsid w:val="005F537B"/>
    <w:rsid w:val="005F580F"/>
    <w:rsid w:val="005F790E"/>
    <w:rsid w:val="006003CD"/>
    <w:rsid w:val="00600EA4"/>
    <w:rsid w:val="006018AE"/>
    <w:rsid w:val="00604BA2"/>
    <w:rsid w:val="00604CBB"/>
    <w:rsid w:val="00605CBF"/>
    <w:rsid w:val="00606800"/>
    <w:rsid w:val="00607EC5"/>
    <w:rsid w:val="00607F12"/>
    <w:rsid w:val="00610FB5"/>
    <w:rsid w:val="00611133"/>
    <w:rsid w:val="00612687"/>
    <w:rsid w:val="00616515"/>
    <w:rsid w:val="00617BD3"/>
    <w:rsid w:val="00620170"/>
    <w:rsid w:val="006220F5"/>
    <w:rsid w:val="00622A08"/>
    <w:rsid w:val="00624F4A"/>
    <w:rsid w:val="00625114"/>
    <w:rsid w:val="0062551F"/>
    <w:rsid w:val="00625844"/>
    <w:rsid w:val="00632EBF"/>
    <w:rsid w:val="006404D8"/>
    <w:rsid w:val="00640792"/>
    <w:rsid w:val="006439E1"/>
    <w:rsid w:val="00644D6E"/>
    <w:rsid w:val="0064606A"/>
    <w:rsid w:val="00652069"/>
    <w:rsid w:val="00652696"/>
    <w:rsid w:val="0065273D"/>
    <w:rsid w:val="0065416E"/>
    <w:rsid w:val="00654433"/>
    <w:rsid w:val="006570F7"/>
    <w:rsid w:val="00660012"/>
    <w:rsid w:val="00660E9B"/>
    <w:rsid w:val="00661D2B"/>
    <w:rsid w:val="00662266"/>
    <w:rsid w:val="00662C04"/>
    <w:rsid w:val="0066482C"/>
    <w:rsid w:val="00665F53"/>
    <w:rsid w:val="00670BBE"/>
    <w:rsid w:val="00671234"/>
    <w:rsid w:val="00673F7C"/>
    <w:rsid w:val="006744DF"/>
    <w:rsid w:val="00677010"/>
    <w:rsid w:val="00681C27"/>
    <w:rsid w:val="0068798B"/>
    <w:rsid w:val="006901FF"/>
    <w:rsid w:val="006920EC"/>
    <w:rsid w:val="00692755"/>
    <w:rsid w:val="00693672"/>
    <w:rsid w:val="00695545"/>
    <w:rsid w:val="00696339"/>
    <w:rsid w:val="00697564"/>
    <w:rsid w:val="006A1B55"/>
    <w:rsid w:val="006A21FE"/>
    <w:rsid w:val="006A420A"/>
    <w:rsid w:val="006A4FE3"/>
    <w:rsid w:val="006A7F2B"/>
    <w:rsid w:val="006B0B2A"/>
    <w:rsid w:val="006B20E1"/>
    <w:rsid w:val="006B3EBC"/>
    <w:rsid w:val="006B744C"/>
    <w:rsid w:val="006B7585"/>
    <w:rsid w:val="006C1DE8"/>
    <w:rsid w:val="006C39B6"/>
    <w:rsid w:val="006C6523"/>
    <w:rsid w:val="006C72DD"/>
    <w:rsid w:val="006C7B24"/>
    <w:rsid w:val="006D0932"/>
    <w:rsid w:val="006D20D3"/>
    <w:rsid w:val="006D29AC"/>
    <w:rsid w:val="006D422A"/>
    <w:rsid w:val="006D6755"/>
    <w:rsid w:val="006D720F"/>
    <w:rsid w:val="006E08A8"/>
    <w:rsid w:val="006E1101"/>
    <w:rsid w:val="006E2042"/>
    <w:rsid w:val="006E3CED"/>
    <w:rsid w:val="006E45DB"/>
    <w:rsid w:val="006E56D4"/>
    <w:rsid w:val="006E57D4"/>
    <w:rsid w:val="006F342C"/>
    <w:rsid w:val="006F3A15"/>
    <w:rsid w:val="006F4623"/>
    <w:rsid w:val="006F7296"/>
    <w:rsid w:val="006F7BD6"/>
    <w:rsid w:val="00700AB7"/>
    <w:rsid w:val="0070250B"/>
    <w:rsid w:val="00703D01"/>
    <w:rsid w:val="00705335"/>
    <w:rsid w:val="007062C8"/>
    <w:rsid w:val="00711DAF"/>
    <w:rsid w:val="0071329D"/>
    <w:rsid w:val="00714F07"/>
    <w:rsid w:val="00715919"/>
    <w:rsid w:val="00723424"/>
    <w:rsid w:val="00723634"/>
    <w:rsid w:val="00724FD9"/>
    <w:rsid w:val="00727AF0"/>
    <w:rsid w:val="00735574"/>
    <w:rsid w:val="00735C6C"/>
    <w:rsid w:val="00735D5E"/>
    <w:rsid w:val="00736EB3"/>
    <w:rsid w:val="007372C6"/>
    <w:rsid w:val="0074278C"/>
    <w:rsid w:val="00743F30"/>
    <w:rsid w:val="00746523"/>
    <w:rsid w:val="00746C3B"/>
    <w:rsid w:val="00750EB8"/>
    <w:rsid w:val="00752336"/>
    <w:rsid w:val="00752DFD"/>
    <w:rsid w:val="0075487A"/>
    <w:rsid w:val="00754C6B"/>
    <w:rsid w:val="00760738"/>
    <w:rsid w:val="00764DA0"/>
    <w:rsid w:val="00765D31"/>
    <w:rsid w:val="00766B9E"/>
    <w:rsid w:val="00767E51"/>
    <w:rsid w:val="00770381"/>
    <w:rsid w:val="007707D2"/>
    <w:rsid w:val="00771771"/>
    <w:rsid w:val="007724FF"/>
    <w:rsid w:val="00773C91"/>
    <w:rsid w:val="007748D7"/>
    <w:rsid w:val="00774EDC"/>
    <w:rsid w:val="0077559A"/>
    <w:rsid w:val="00775A6F"/>
    <w:rsid w:val="00781413"/>
    <w:rsid w:val="0078564F"/>
    <w:rsid w:val="00786F1E"/>
    <w:rsid w:val="00790C92"/>
    <w:rsid w:val="007934C9"/>
    <w:rsid w:val="00794129"/>
    <w:rsid w:val="00794CA0"/>
    <w:rsid w:val="0079530F"/>
    <w:rsid w:val="00797B37"/>
    <w:rsid w:val="007A33AF"/>
    <w:rsid w:val="007A4D31"/>
    <w:rsid w:val="007A500B"/>
    <w:rsid w:val="007A551B"/>
    <w:rsid w:val="007A5BB2"/>
    <w:rsid w:val="007A6789"/>
    <w:rsid w:val="007B03E5"/>
    <w:rsid w:val="007B43D0"/>
    <w:rsid w:val="007B5F7B"/>
    <w:rsid w:val="007C1408"/>
    <w:rsid w:val="007C1DD3"/>
    <w:rsid w:val="007C2049"/>
    <w:rsid w:val="007D051C"/>
    <w:rsid w:val="007D20D3"/>
    <w:rsid w:val="007D5264"/>
    <w:rsid w:val="007D5F8E"/>
    <w:rsid w:val="007E23A9"/>
    <w:rsid w:val="007E325C"/>
    <w:rsid w:val="007E7F9F"/>
    <w:rsid w:val="007F328F"/>
    <w:rsid w:val="007F5C21"/>
    <w:rsid w:val="00800F30"/>
    <w:rsid w:val="008011F9"/>
    <w:rsid w:val="00802885"/>
    <w:rsid w:val="00802B14"/>
    <w:rsid w:val="008040C5"/>
    <w:rsid w:val="00804398"/>
    <w:rsid w:val="008055F5"/>
    <w:rsid w:val="00805BDD"/>
    <w:rsid w:val="00807CF5"/>
    <w:rsid w:val="00815BF0"/>
    <w:rsid w:val="00816325"/>
    <w:rsid w:val="0082178F"/>
    <w:rsid w:val="00822EB0"/>
    <w:rsid w:val="00823159"/>
    <w:rsid w:val="008231D2"/>
    <w:rsid w:val="00823983"/>
    <w:rsid w:val="00831D76"/>
    <w:rsid w:val="00834C7D"/>
    <w:rsid w:val="00835111"/>
    <w:rsid w:val="00836D62"/>
    <w:rsid w:val="0084096A"/>
    <w:rsid w:val="008416D0"/>
    <w:rsid w:val="00841CD8"/>
    <w:rsid w:val="00843080"/>
    <w:rsid w:val="00843FA8"/>
    <w:rsid w:val="00846F26"/>
    <w:rsid w:val="00847F6A"/>
    <w:rsid w:val="0085010B"/>
    <w:rsid w:val="00852770"/>
    <w:rsid w:val="00854579"/>
    <w:rsid w:val="00856687"/>
    <w:rsid w:val="00857BBB"/>
    <w:rsid w:val="00863AC8"/>
    <w:rsid w:val="00870E17"/>
    <w:rsid w:val="00875902"/>
    <w:rsid w:val="00875DDC"/>
    <w:rsid w:val="0088653A"/>
    <w:rsid w:val="008869A4"/>
    <w:rsid w:val="00886DAC"/>
    <w:rsid w:val="0089434F"/>
    <w:rsid w:val="00894ADC"/>
    <w:rsid w:val="00896702"/>
    <w:rsid w:val="008979CF"/>
    <w:rsid w:val="00897BE7"/>
    <w:rsid w:val="008A1021"/>
    <w:rsid w:val="008A1641"/>
    <w:rsid w:val="008A272C"/>
    <w:rsid w:val="008A3F0F"/>
    <w:rsid w:val="008A72D9"/>
    <w:rsid w:val="008B1205"/>
    <w:rsid w:val="008B372B"/>
    <w:rsid w:val="008B41DF"/>
    <w:rsid w:val="008B6F5D"/>
    <w:rsid w:val="008D26DF"/>
    <w:rsid w:val="008D296F"/>
    <w:rsid w:val="008D2A59"/>
    <w:rsid w:val="008D5EC3"/>
    <w:rsid w:val="008D7127"/>
    <w:rsid w:val="008E13D0"/>
    <w:rsid w:val="008E2181"/>
    <w:rsid w:val="008E601A"/>
    <w:rsid w:val="008E62E0"/>
    <w:rsid w:val="008F2EF1"/>
    <w:rsid w:val="008F6F6F"/>
    <w:rsid w:val="00903767"/>
    <w:rsid w:val="00910712"/>
    <w:rsid w:val="009118B8"/>
    <w:rsid w:val="00915191"/>
    <w:rsid w:val="00916875"/>
    <w:rsid w:val="00920197"/>
    <w:rsid w:val="0092129E"/>
    <w:rsid w:val="00921333"/>
    <w:rsid w:val="00924592"/>
    <w:rsid w:val="00924963"/>
    <w:rsid w:val="0092514F"/>
    <w:rsid w:val="009251DF"/>
    <w:rsid w:val="00927220"/>
    <w:rsid w:val="009303D3"/>
    <w:rsid w:val="0093183D"/>
    <w:rsid w:val="009323B3"/>
    <w:rsid w:val="00932AE2"/>
    <w:rsid w:val="00933041"/>
    <w:rsid w:val="00937487"/>
    <w:rsid w:val="00942BB4"/>
    <w:rsid w:val="00942C2F"/>
    <w:rsid w:val="00944EF9"/>
    <w:rsid w:val="00944FBA"/>
    <w:rsid w:val="00945122"/>
    <w:rsid w:val="009467EF"/>
    <w:rsid w:val="00955B0F"/>
    <w:rsid w:val="0096393F"/>
    <w:rsid w:val="009728DE"/>
    <w:rsid w:val="0097360E"/>
    <w:rsid w:val="00976253"/>
    <w:rsid w:val="0098063A"/>
    <w:rsid w:val="00980D77"/>
    <w:rsid w:val="00982F23"/>
    <w:rsid w:val="009831C2"/>
    <w:rsid w:val="0098371E"/>
    <w:rsid w:val="00984047"/>
    <w:rsid w:val="00985F5A"/>
    <w:rsid w:val="009862D3"/>
    <w:rsid w:val="00990D56"/>
    <w:rsid w:val="00991173"/>
    <w:rsid w:val="009912A6"/>
    <w:rsid w:val="009922D0"/>
    <w:rsid w:val="00992CCE"/>
    <w:rsid w:val="00993698"/>
    <w:rsid w:val="00993741"/>
    <w:rsid w:val="00993917"/>
    <w:rsid w:val="00993D9B"/>
    <w:rsid w:val="009961BF"/>
    <w:rsid w:val="009966AA"/>
    <w:rsid w:val="00996A21"/>
    <w:rsid w:val="009A3E9D"/>
    <w:rsid w:val="009A731A"/>
    <w:rsid w:val="009B0D8D"/>
    <w:rsid w:val="009B21BC"/>
    <w:rsid w:val="009B4011"/>
    <w:rsid w:val="009B4BB6"/>
    <w:rsid w:val="009B7921"/>
    <w:rsid w:val="009C11E8"/>
    <w:rsid w:val="009C198A"/>
    <w:rsid w:val="009C28D6"/>
    <w:rsid w:val="009C3A80"/>
    <w:rsid w:val="009C5691"/>
    <w:rsid w:val="009C7D7F"/>
    <w:rsid w:val="009D1E05"/>
    <w:rsid w:val="009D30B0"/>
    <w:rsid w:val="009D58BC"/>
    <w:rsid w:val="009D6854"/>
    <w:rsid w:val="009E396C"/>
    <w:rsid w:val="009E3A07"/>
    <w:rsid w:val="009E47E8"/>
    <w:rsid w:val="009E5975"/>
    <w:rsid w:val="009F1DCD"/>
    <w:rsid w:val="009F2864"/>
    <w:rsid w:val="009F2D8A"/>
    <w:rsid w:val="009F2DCD"/>
    <w:rsid w:val="009F4764"/>
    <w:rsid w:val="009F49E6"/>
    <w:rsid w:val="009F4AF4"/>
    <w:rsid w:val="00A007EB"/>
    <w:rsid w:val="00A0082D"/>
    <w:rsid w:val="00A110AA"/>
    <w:rsid w:val="00A1136A"/>
    <w:rsid w:val="00A11CA4"/>
    <w:rsid w:val="00A13EBE"/>
    <w:rsid w:val="00A164C8"/>
    <w:rsid w:val="00A17233"/>
    <w:rsid w:val="00A204B1"/>
    <w:rsid w:val="00A23248"/>
    <w:rsid w:val="00A237DB"/>
    <w:rsid w:val="00A246E3"/>
    <w:rsid w:val="00A25187"/>
    <w:rsid w:val="00A251A0"/>
    <w:rsid w:val="00A34783"/>
    <w:rsid w:val="00A34CD0"/>
    <w:rsid w:val="00A37EAB"/>
    <w:rsid w:val="00A444F6"/>
    <w:rsid w:val="00A44572"/>
    <w:rsid w:val="00A451AF"/>
    <w:rsid w:val="00A4546B"/>
    <w:rsid w:val="00A4574D"/>
    <w:rsid w:val="00A54C4D"/>
    <w:rsid w:val="00A568BC"/>
    <w:rsid w:val="00A60CA7"/>
    <w:rsid w:val="00A64AA2"/>
    <w:rsid w:val="00A7261A"/>
    <w:rsid w:val="00A7373E"/>
    <w:rsid w:val="00A7766A"/>
    <w:rsid w:val="00A81C10"/>
    <w:rsid w:val="00A84C83"/>
    <w:rsid w:val="00A87F05"/>
    <w:rsid w:val="00A92B4B"/>
    <w:rsid w:val="00A93B78"/>
    <w:rsid w:val="00A93BE6"/>
    <w:rsid w:val="00A9543F"/>
    <w:rsid w:val="00A95EC4"/>
    <w:rsid w:val="00AA1D16"/>
    <w:rsid w:val="00AA2B9B"/>
    <w:rsid w:val="00AA5067"/>
    <w:rsid w:val="00AA7898"/>
    <w:rsid w:val="00AB0A76"/>
    <w:rsid w:val="00AB15CA"/>
    <w:rsid w:val="00AB22E5"/>
    <w:rsid w:val="00AB24DB"/>
    <w:rsid w:val="00AB401C"/>
    <w:rsid w:val="00AB5F16"/>
    <w:rsid w:val="00AC3708"/>
    <w:rsid w:val="00AC4A7F"/>
    <w:rsid w:val="00AC5169"/>
    <w:rsid w:val="00AC7316"/>
    <w:rsid w:val="00AC797C"/>
    <w:rsid w:val="00AD0983"/>
    <w:rsid w:val="00AD1457"/>
    <w:rsid w:val="00AD2D25"/>
    <w:rsid w:val="00AD2F1A"/>
    <w:rsid w:val="00AD4D50"/>
    <w:rsid w:val="00AD6BD9"/>
    <w:rsid w:val="00AD70A7"/>
    <w:rsid w:val="00AE0B44"/>
    <w:rsid w:val="00AE59B6"/>
    <w:rsid w:val="00AE672C"/>
    <w:rsid w:val="00AE7F80"/>
    <w:rsid w:val="00AF0F97"/>
    <w:rsid w:val="00AF13B2"/>
    <w:rsid w:val="00AF2120"/>
    <w:rsid w:val="00AF41F6"/>
    <w:rsid w:val="00AF43EA"/>
    <w:rsid w:val="00AF47BD"/>
    <w:rsid w:val="00AF4F7A"/>
    <w:rsid w:val="00B0099F"/>
    <w:rsid w:val="00B01092"/>
    <w:rsid w:val="00B0136F"/>
    <w:rsid w:val="00B038BF"/>
    <w:rsid w:val="00B05C92"/>
    <w:rsid w:val="00B06E61"/>
    <w:rsid w:val="00B10F67"/>
    <w:rsid w:val="00B122AD"/>
    <w:rsid w:val="00B12BF1"/>
    <w:rsid w:val="00B15C30"/>
    <w:rsid w:val="00B23934"/>
    <w:rsid w:val="00B27421"/>
    <w:rsid w:val="00B330EE"/>
    <w:rsid w:val="00B33857"/>
    <w:rsid w:val="00B36E0D"/>
    <w:rsid w:val="00B36E64"/>
    <w:rsid w:val="00B3771C"/>
    <w:rsid w:val="00B40F3F"/>
    <w:rsid w:val="00B4445A"/>
    <w:rsid w:val="00B450ED"/>
    <w:rsid w:val="00B468F2"/>
    <w:rsid w:val="00B470A3"/>
    <w:rsid w:val="00B52AF4"/>
    <w:rsid w:val="00B531EE"/>
    <w:rsid w:val="00B5485A"/>
    <w:rsid w:val="00B559AD"/>
    <w:rsid w:val="00B56012"/>
    <w:rsid w:val="00B6070E"/>
    <w:rsid w:val="00B608EE"/>
    <w:rsid w:val="00B628EC"/>
    <w:rsid w:val="00B6373B"/>
    <w:rsid w:val="00B64A7F"/>
    <w:rsid w:val="00B65D91"/>
    <w:rsid w:val="00B66608"/>
    <w:rsid w:val="00B67908"/>
    <w:rsid w:val="00B70303"/>
    <w:rsid w:val="00B71D04"/>
    <w:rsid w:val="00B71EB3"/>
    <w:rsid w:val="00B732F3"/>
    <w:rsid w:val="00B774B4"/>
    <w:rsid w:val="00B8108A"/>
    <w:rsid w:val="00B83C59"/>
    <w:rsid w:val="00B83FA7"/>
    <w:rsid w:val="00B85F02"/>
    <w:rsid w:val="00B86A9E"/>
    <w:rsid w:val="00B86FD1"/>
    <w:rsid w:val="00B87479"/>
    <w:rsid w:val="00B901EC"/>
    <w:rsid w:val="00B91F28"/>
    <w:rsid w:val="00B93A6C"/>
    <w:rsid w:val="00B94181"/>
    <w:rsid w:val="00B9745D"/>
    <w:rsid w:val="00BA18BB"/>
    <w:rsid w:val="00BA3472"/>
    <w:rsid w:val="00BA5990"/>
    <w:rsid w:val="00BA771D"/>
    <w:rsid w:val="00BB1972"/>
    <w:rsid w:val="00BB2818"/>
    <w:rsid w:val="00BB3CD0"/>
    <w:rsid w:val="00BB4B6A"/>
    <w:rsid w:val="00BB60A1"/>
    <w:rsid w:val="00BC09E7"/>
    <w:rsid w:val="00BC0B82"/>
    <w:rsid w:val="00BC21E0"/>
    <w:rsid w:val="00BC4E74"/>
    <w:rsid w:val="00BC70E0"/>
    <w:rsid w:val="00BD6544"/>
    <w:rsid w:val="00BD6DA9"/>
    <w:rsid w:val="00BE0108"/>
    <w:rsid w:val="00BE1252"/>
    <w:rsid w:val="00BE3877"/>
    <w:rsid w:val="00BF1CFB"/>
    <w:rsid w:val="00BF68C1"/>
    <w:rsid w:val="00BF6D92"/>
    <w:rsid w:val="00C02119"/>
    <w:rsid w:val="00C10AFF"/>
    <w:rsid w:val="00C11594"/>
    <w:rsid w:val="00C127BF"/>
    <w:rsid w:val="00C205CC"/>
    <w:rsid w:val="00C21912"/>
    <w:rsid w:val="00C25150"/>
    <w:rsid w:val="00C26345"/>
    <w:rsid w:val="00C263A7"/>
    <w:rsid w:val="00C26585"/>
    <w:rsid w:val="00C27CF4"/>
    <w:rsid w:val="00C31FBF"/>
    <w:rsid w:val="00C32E6D"/>
    <w:rsid w:val="00C34654"/>
    <w:rsid w:val="00C415EC"/>
    <w:rsid w:val="00C44A3F"/>
    <w:rsid w:val="00C46B78"/>
    <w:rsid w:val="00C519DC"/>
    <w:rsid w:val="00C529DF"/>
    <w:rsid w:val="00C53A13"/>
    <w:rsid w:val="00C5450B"/>
    <w:rsid w:val="00C5478E"/>
    <w:rsid w:val="00C5517F"/>
    <w:rsid w:val="00C55489"/>
    <w:rsid w:val="00C57B47"/>
    <w:rsid w:val="00C6073A"/>
    <w:rsid w:val="00C64600"/>
    <w:rsid w:val="00C65202"/>
    <w:rsid w:val="00C65322"/>
    <w:rsid w:val="00C73A0E"/>
    <w:rsid w:val="00C7462E"/>
    <w:rsid w:val="00C778FC"/>
    <w:rsid w:val="00C8024E"/>
    <w:rsid w:val="00C8134D"/>
    <w:rsid w:val="00C81CCA"/>
    <w:rsid w:val="00C82677"/>
    <w:rsid w:val="00C83E4A"/>
    <w:rsid w:val="00C844E9"/>
    <w:rsid w:val="00C8542B"/>
    <w:rsid w:val="00C86937"/>
    <w:rsid w:val="00C9030C"/>
    <w:rsid w:val="00C96F5F"/>
    <w:rsid w:val="00C97B95"/>
    <w:rsid w:val="00CA04C2"/>
    <w:rsid w:val="00CA12C4"/>
    <w:rsid w:val="00CA2BE2"/>
    <w:rsid w:val="00CA417D"/>
    <w:rsid w:val="00CA6C70"/>
    <w:rsid w:val="00CB08E6"/>
    <w:rsid w:val="00CB1DBA"/>
    <w:rsid w:val="00CB2BD0"/>
    <w:rsid w:val="00CB4280"/>
    <w:rsid w:val="00CB428C"/>
    <w:rsid w:val="00CB4679"/>
    <w:rsid w:val="00CB51C1"/>
    <w:rsid w:val="00CB53B2"/>
    <w:rsid w:val="00CB6BC0"/>
    <w:rsid w:val="00CC01AE"/>
    <w:rsid w:val="00CC0FF8"/>
    <w:rsid w:val="00CC1741"/>
    <w:rsid w:val="00CC56CD"/>
    <w:rsid w:val="00CC6C94"/>
    <w:rsid w:val="00CD211C"/>
    <w:rsid w:val="00CD22F2"/>
    <w:rsid w:val="00CD619E"/>
    <w:rsid w:val="00CD76F6"/>
    <w:rsid w:val="00CE028D"/>
    <w:rsid w:val="00CE2651"/>
    <w:rsid w:val="00CE4B12"/>
    <w:rsid w:val="00CF028C"/>
    <w:rsid w:val="00CF0D58"/>
    <w:rsid w:val="00CF18B3"/>
    <w:rsid w:val="00CF29AE"/>
    <w:rsid w:val="00CF2A2E"/>
    <w:rsid w:val="00CF66A8"/>
    <w:rsid w:val="00D00A5F"/>
    <w:rsid w:val="00D02944"/>
    <w:rsid w:val="00D038C1"/>
    <w:rsid w:val="00D039D8"/>
    <w:rsid w:val="00D04ECB"/>
    <w:rsid w:val="00D06918"/>
    <w:rsid w:val="00D108AC"/>
    <w:rsid w:val="00D13A50"/>
    <w:rsid w:val="00D24FCA"/>
    <w:rsid w:val="00D26C3E"/>
    <w:rsid w:val="00D276C7"/>
    <w:rsid w:val="00D31C34"/>
    <w:rsid w:val="00D32BF5"/>
    <w:rsid w:val="00D33882"/>
    <w:rsid w:val="00D34D9D"/>
    <w:rsid w:val="00D35383"/>
    <w:rsid w:val="00D35423"/>
    <w:rsid w:val="00D36063"/>
    <w:rsid w:val="00D44E12"/>
    <w:rsid w:val="00D46052"/>
    <w:rsid w:val="00D54B26"/>
    <w:rsid w:val="00D5581B"/>
    <w:rsid w:val="00D56C69"/>
    <w:rsid w:val="00D578E9"/>
    <w:rsid w:val="00D60191"/>
    <w:rsid w:val="00D62A89"/>
    <w:rsid w:val="00D648B7"/>
    <w:rsid w:val="00D64C52"/>
    <w:rsid w:val="00D66504"/>
    <w:rsid w:val="00D66987"/>
    <w:rsid w:val="00D672CC"/>
    <w:rsid w:val="00D67368"/>
    <w:rsid w:val="00D67B1C"/>
    <w:rsid w:val="00D7096A"/>
    <w:rsid w:val="00D70F96"/>
    <w:rsid w:val="00D74A59"/>
    <w:rsid w:val="00D75053"/>
    <w:rsid w:val="00D752D3"/>
    <w:rsid w:val="00D76EC8"/>
    <w:rsid w:val="00D81B75"/>
    <w:rsid w:val="00D83ACF"/>
    <w:rsid w:val="00D86439"/>
    <w:rsid w:val="00D91BCC"/>
    <w:rsid w:val="00D93410"/>
    <w:rsid w:val="00D93E00"/>
    <w:rsid w:val="00D95B32"/>
    <w:rsid w:val="00D97219"/>
    <w:rsid w:val="00DA100E"/>
    <w:rsid w:val="00DA2635"/>
    <w:rsid w:val="00DA4FA2"/>
    <w:rsid w:val="00DA5D4D"/>
    <w:rsid w:val="00DB0684"/>
    <w:rsid w:val="00DB40F9"/>
    <w:rsid w:val="00DB41F7"/>
    <w:rsid w:val="00DB64D2"/>
    <w:rsid w:val="00DB7DF5"/>
    <w:rsid w:val="00DC1114"/>
    <w:rsid w:val="00DC1EB5"/>
    <w:rsid w:val="00DC27F5"/>
    <w:rsid w:val="00DC2BA5"/>
    <w:rsid w:val="00DC47F0"/>
    <w:rsid w:val="00DC54A1"/>
    <w:rsid w:val="00DC6C42"/>
    <w:rsid w:val="00DC79F5"/>
    <w:rsid w:val="00DC7C2D"/>
    <w:rsid w:val="00DD269F"/>
    <w:rsid w:val="00DD3041"/>
    <w:rsid w:val="00DD3882"/>
    <w:rsid w:val="00DD445B"/>
    <w:rsid w:val="00DD4783"/>
    <w:rsid w:val="00DD575C"/>
    <w:rsid w:val="00DD6113"/>
    <w:rsid w:val="00DD7596"/>
    <w:rsid w:val="00DD7614"/>
    <w:rsid w:val="00DE3A55"/>
    <w:rsid w:val="00DE564B"/>
    <w:rsid w:val="00DE71C5"/>
    <w:rsid w:val="00DF2271"/>
    <w:rsid w:val="00DF2F41"/>
    <w:rsid w:val="00DF5280"/>
    <w:rsid w:val="00E001CC"/>
    <w:rsid w:val="00E00E6A"/>
    <w:rsid w:val="00E03328"/>
    <w:rsid w:val="00E060FE"/>
    <w:rsid w:val="00E063F6"/>
    <w:rsid w:val="00E10FFA"/>
    <w:rsid w:val="00E1120C"/>
    <w:rsid w:val="00E12BA9"/>
    <w:rsid w:val="00E12D95"/>
    <w:rsid w:val="00E13637"/>
    <w:rsid w:val="00E13739"/>
    <w:rsid w:val="00E15FFA"/>
    <w:rsid w:val="00E162F4"/>
    <w:rsid w:val="00E21F59"/>
    <w:rsid w:val="00E252A4"/>
    <w:rsid w:val="00E270BE"/>
    <w:rsid w:val="00E27348"/>
    <w:rsid w:val="00E27712"/>
    <w:rsid w:val="00E27A22"/>
    <w:rsid w:val="00E3057D"/>
    <w:rsid w:val="00E31108"/>
    <w:rsid w:val="00E32FA3"/>
    <w:rsid w:val="00E3371B"/>
    <w:rsid w:val="00E3433F"/>
    <w:rsid w:val="00E358AA"/>
    <w:rsid w:val="00E358AE"/>
    <w:rsid w:val="00E36B07"/>
    <w:rsid w:val="00E36E4E"/>
    <w:rsid w:val="00E400C8"/>
    <w:rsid w:val="00E42BE3"/>
    <w:rsid w:val="00E430B4"/>
    <w:rsid w:val="00E4387A"/>
    <w:rsid w:val="00E4425A"/>
    <w:rsid w:val="00E52DCE"/>
    <w:rsid w:val="00E5331F"/>
    <w:rsid w:val="00E54C08"/>
    <w:rsid w:val="00E55C48"/>
    <w:rsid w:val="00E55CB7"/>
    <w:rsid w:val="00E55DD4"/>
    <w:rsid w:val="00E5785C"/>
    <w:rsid w:val="00E61A7D"/>
    <w:rsid w:val="00E63609"/>
    <w:rsid w:val="00E64DAD"/>
    <w:rsid w:val="00E653C4"/>
    <w:rsid w:val="00E674E8"/>
    <w:rsid w:val="00E7188F"/>
    <w:rsid w:val="00E72C60"/>
    <w:rsid w:val="00E741C0"/>
    <w:rsid w:val="00E74AF6"/>
    <w:rsid w:val="00E7672B"/>
    <w:rsid w:val="00E779F3"/>
    <w:rsid w:val="00E77C4B"/>
    <w:rsid w:val="00E822CF"/>
    <w:rsid w:val="00E85793"/>
    <w:rsid w:val="00E85E11"/>
    <w:rsid w:val="00E86E79"/>
    <w:rsid w:val="00E87B94"/>
    <w:rsid w:val="00E87BB7"/>
    <w:rsid w:val="00E87BF4"/>
    <w:rsid w:val="00E9285C"/>
    <w:rsid w:val="00E92C1D"/>
    <w:rsid w:val="00E943AC"/>
    <w:rsid w:val="00E96015"/>
    <w:rsid w:val="00EA3BC6"/>
    <w:rsid w:val="00EA7CD6"/>
    <w:rsid w:val="00EB0557"/>
    <w:rsid w:val="00EB1E09"/>
    <w:rsid w:val="00EB290C"/>
    <w:rsid w:val="00EB2D0D"/>
    <w:rsid w:val="00EB6642"/>
    <w:rsid w:val="00EB79C6"/>
    <w:rsid w:val="00EB7DAC"/>
    <w:rsid w:val="00EC0596"/>
    <w:rsid w:val="00EC1367"/>
    <w:rsid w:val="00EC3C4E"/>
    <w:rsid w:val="00EC544C"/>
    <w:rsid w:val="00EC6DAC"/>
    <w:rsid w:val="00ED17D4"/>
    <w:rsid w:val="00ED1DEF"/>
    <w:rsid w:val="00ED2B42"/>
    <w:rsid w:val="00ED59D2"/>
    <w:rsid w:val="00ED66D8"/>
    <w:rsid w:val="00ED7C55"/>
    <w:rsid w:val="00EE0730"/>
    <w:rsid w:val="00EE0F0D"/>
    <w:rsid w:val="00EE16C9"/>
    <w:rsid w:val="00EE1819"/>
    <w:rsid w:val="00EE4409"/>
    <w:rsid w:val="00EF0505"/>
    <w:rsid w:val="00EF05A4"/>
    <w:rsid w:val="00EF0BE7"/>
    <w:rsid w:val="00EF0E49"/>
    <w:rsid w:val="00EF11BF"/>
    <w:rsid w:val="00EF3CA7"/>
    <w:rsid w:val="00EF4A01"/>
    <w:rsid w:val="00EF6CBB"/>
    <w:rsid w:val="00F01E19"/>
    <w:rsid w:val="00F03326"/>
    <w:rsid w:val="00F12FCF"/>
    <w:rsid w:val="00F17621"/>
    <w:rsid w:val="00F20423"/>
    <w:rsid w:val="00F21440"/>
    <w:rsid w:val="00F22E72"/>
    <w:rsid w:val="00F2578D"/>
    <w:rsid w:val="00F25FBE"/>
    <w:rsid w:val="00F27554"/>
    <w:rsid w:val="00F3630E"/>
    <w:rsid w:val="00F37CF2"/>
    <w:rsid w:val="00F404EF"/>
    <w:rsid w:val="00F41C3B"/>
    <w:rsid w:val="00F42488"/>
    <w:rsid w:val="00F45A57"/>
    <w:rsid w:val="00F469B4"/>
    <w:rsid w:val="00F46E72"/>
    <w:rsid w:val="00F46F72"/>
    <w:rsid w:val="00F50553"/>
    <w:rsid w:val="00F50C2D"/>
    <w:rsid w:val="00F546D6"/>
    <w:rsid w:val="00F55343"/>
    <w:rsid w:val="00F55724"/>
    <w:rsid w:val="00F634C1"/>
    <w:rsid w:val="00F71484"/>
    <w:rsid w:val="00F71F63"/>
    <w:rsid w:val="00F72FEA"/>
    <w:rsid w:val="00F75305"/>
    <w:rsid w:val="00F76C98"/>
    <w:rsid w:val="00F776C2"/>
    <w:rsid w:val="00F833E7"/>
    <w:rsid w:val="00F83ED2"/>
    <w:rsid w:val="00F848FF"/>
    <w:rsid w:val="00F930AE"/>
    <w:rsid w:val="00F9639B"/>
    <w:rsid w:val="00FA25D1"/>
    <w:rsid w:val="00FA3EE7"/>
    <w:rsid w:val="00FB1B00"/>
    <w:rsid w:val="00FB2380"/>
    <w:rsid w:val="00FB465B"/>
    <w:rsid w:val="00FB47AD"/>
    <w:rsid w:val="00FB5E92"/>
    <w:rsid w:val="00FB7C87"/>
    <w:rsid w:val="00FC0221"/>
    <w:rsid w:val="00FC221D"/>
    <w:rsid w:val="00FC3026"/>
    <w:rsid w:val="00FD124F"/>
    <w:rsid w:val="00FD1551"/>
    <w:rsid w:val="00FD170B"/>
    <w:rsid w:val="00FD227F"/>
    <w:rsid w:val="00FD4522"/>
    <w:rsid w:val="00FD6173"/>
    <w:rsid w:val="00FD6CE5"/>
    <w:rsid w:val="00FE03C6"/>
    <w:rsid w:val="00FE1B9C"/>
    <w:rsid w:val="00FE4759"/>
    <w:rsid w:val="00FE71DF"/>
    <w:rsid w:val="00FE7FDC"/>
    <w:rsid w:val="00FF09F3"/>
    <w:rsid w:val="00FF2D40"/>
    <w:rsid w:val="00FF2DF4"/>
    <w:rsid w:val="00FF3493"/>
    <w:rsid w:val="00FF79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48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semiHidden/>
    <w:rsid w:val="00590A04"/>
    <w:rPr>
      <w:rFonts w:ascii="Times New Roman" w:hAnsi="Times New Roman" w:cs="Times New Roman"/>
      <w:sz w:val="2"/>
      <w:lang w:val="x-none" w:eastAsia="x-none"/>
    </w:rPr>
  </w:style>
  <w:style w:type="character" w:customStyle="1" w:styleId="TextodegloboCar">
    <w:name w:val="Texto de globo Car"/>
    <w:link w:val="Textodeglobo"/>
    <w:semiHidden/>
    <w:locked/>
    <w:rsid w:val="000A6DEF"/>
    <w:rPr>
      <w:rFonts w:cs="Arial"/>
      <w:sz w:val="2"/>
    </w:rPr>
  </w:style>
  <w:style w:type="character" w:styleId="Hipervnculo">
    <w:name w:val="Hyperlink"/>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uiPriority w:val="39"/>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rsid w:val="003C771F"/>
    <w:rPr>
      <w:rFonts w:ascii="Times New Roman" w:hAnsi="Times New Roman" w:cs="Times New Roman"/>
      <w:szCs w:val="24"/>
    </w:rPr>
  </w:style>
  <w:style w:type="paragraph" w:styleId="Textonotapie">
    <w:name w:val="footnote text"/>
    <w:basedOn w:val="Normal"/>
    <w:link w:val="TextonotapieCar"/>
    <w:uiPriority w:val="99"/>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uiPriority w:val="99"/>
    <w:rsid w:val="00723634"/>
    <w:rPr>
      <w:rFonts w:ascii="Arial" w:hAnsi="Arial"/>
      <w:lang w:val="es-ES_tradnl"/>
    </w:rPr>
  </w:style>
  <w:style w:type="character" w:styleId="Refdenotaalpie">
    <w:name w:val="footnote reference"/>
    <w:uiPriority w:val="99"/>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table" w:styleId="Tablabsica2">
    <w:name w:val="Table Simple 2"/>
    <w:basedOn w:val="Tablanormal"/>
    <w:rsid w:val="000E50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0F30"/>
    <w:rPr>
      <w:rFonts w:ascii="Arial" w:hAnsi="Arial" w:cs="Arial"/>
      <w:sz w:val="24"/>
    </w:rPr>
  </w:style>
  <w:style w:type="paragraph" w:styleId="Ttulo1">
    <w:name w:val="heading 1"/>
    <w:basedOn w:val="Normal"/>
    <w:next w:val="Normal"/>
    <w:link w:val="Ttulo1Car"/>
    <w:qFormat/>
    <w:rsid w:val="00200C9B"/>
    <w:pPr>
      <w:keepNext/>
      <w:ind w:left="2552"/>
      <w:outlineLvl w:val="0"/>
    </w:pPr>
    <w:rPr>
      <w:rFonts w:ascii="Cambria" w:hAnsi="Cambria" w:cs="Times New Roman"/>
      <w:b/>
      <w:bCs/>
      <w:kern w:val="32"/>
      <w:sz w:val="32"/>
      <w:szCs w:val="32"/>
      <w:lang w:val="x-none" w:eastAsia="x-none"/>
    </w:rPr>
  </w:style>
  <w:style w:type="paragraph" w:styleId="Ttulo2">
    <w:name w:val="heading 2"/>
    <w:basedOn w:val="Normal"/>
    <w:next w:val="Normal"/>
    <w:link w:val="Ttulo2Car"/>
    <w:qFormat/>
    <w:rsid w:val="00200C9B"/>
    <w:pPr>
      <w:keepNext/>
      <w:numPr>
        <w:numId w:val="1"/>
      </w:numPr>
      <w:jc w:val="both"/>
      <w:outlineLvl w:val="1"/>
    </w:pPr>
    <w:rPr>
      <w:rFonts w:ascii="Arial Narrow" w:hAnsi="Arial Narrow" w:cs="Times New Roman"/>
      <w:b/>
      <w:bCs/>
      <w:sz w:val="28"/>
      <w:lang w:val="x-none" w:eastAsia="x-none"/>
    </w:rPr>
  </w:style>
  <w:style w:type="paragraph" w:styleId="Ttulo3">
    <w:name w:val="heading 3"/>
    <w:basedOn w:val="Normal"/>
    <w:next w:val="Normal"/>
    <w:link w:val="Ttulo3Car"/>
    <w:qFormat/>
    <w:rsid w:val="00200C9B"/>
    <w:pPr>
      <w:keepNext/>
      <w:jc w:val="both"/>
      <w:outlineLvl w:val="2"/>
    </w:pPr>
    <w:rPr>
      <w:rFonts w:ascii="Cambria" w:hAnsi="Cambria" w:cs="Times New Roman"/>
      <w:b/>
      <w:bCs/>
      <w:sz w:val="26"/>
      <w:szCs w:val="26"/>
      <w:lang w:val="x-none" w:eastAsia="x-none"/>
    </w:rPr>
  </w:style>
  <w:style w:type="paragraph" w:styleId="Ttulo4">
    <w:name w:val="heading 4"/>
    <w:basedOn w:val="Normal"/>
    <w:next w:val="Normal"/>
    <w:link w:val="Ttulo4Car"/>
    <w:qFormat/>
    <w:rsid w:val="00200C9B"/>
    <w:pPr>
      <w:keepNext/>
      <w:jc w:val="right"/>
      <w:outlineLvl w:val="3"/>
    </w:pPr>
    <w:rPr>
      <w:rFonts w:ascii="Calibri" w:hAnsi="Calibri" w:cs="Times New Roman"/>
      <w:b/>
      <w:bCs/>
      <w:sz w:val="28"/>
      <w:szCs w:val="28"/>
      <w:lang w:val="x-none" w:eastAsia="x-none"/>
    </w:rPr>
  </w:style>
  <w:style w:type="paragraph" w:styleId="Ttulo5">
    <w:name w:val="heading 5"/>
    <w:basedOn w:val="Normal"/>
    <w:next w:val="Normal"/>
    <w:link w:val="Ttulo5Car"/>
    <w:semiHidden/>
    <w:unhideWhenUsed/>
    <w:qFormat/>
    <w:locked/>
    <w:rsid w:val="0048470D"/>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0A6DEF"/>
    <w:rPr>
      <w:rFonts w:ascii="Cambria" w:hAnsi="Cambria" w:cs="Times New Roman"/>
      <w:b/>
      <w:bCs/>
      <w:kern w:val="32"/>
      <w:sz w:val="32"/>
      <w:szCs w:val="32"/>
    </w:rPr>
  </w:style>
  <w:style w:type="character" w:customStyle="1" w:styleId="Ttulo2Car">
    <w:name w:val="Título 2 Car"/>
    <w:link w:val="Ttulo2"/>
    <w:locked/>
    <w:rsid w:val="000A6DEF"/>
    <w:rPr>
      <w:rFonts w:ascii="Arial Narrow" w:hAnsi="Arial Narrow"/>
      <w:b/>
      <w:bCs/>
      <w:sz w:val="28"/>
      <w:lang w:val="x-none" w:eastAsia="x-none"/>
    </w:rPr>
  </w:style>
  <w:style w:type="character" w:customStyle="1" w:styleId="Ttulo3Car">
    <w:name w:val="Título 3 Car"/>
    <w:link w:val="Ttulo3"/>
    <w:semiHidden/>
    <w:locked/>
    <w:rsid w:val="000A6DEF"/>
    <w:rPr>
      <w:rFonts w:ascii="Cambria" w:hAnsi="Cambria" w:cs="Times New Roman"/>
      <w:b/>
      <w:bCs/>
      <w:sz w:val="26"/>
      <w:szCs w:val="26"/>
    </w:rPr>
  </w:style>
  <w:style w:type="character" w:customStyle="1" w:styleId="Ttulo4Car">
    <w:name w:val="Título 4 Car"/>
    <w:link w:val="Ttulo4"/>
    <w:locked/>
    <w:rsid w:val="000A6DEF"/>
    <w:rPr>
      <w:rFonts w:ascii="Calibri" w:hAnsi="Calibri" w:cs="Times New Roman"/>
      <w:b/>
      <w:bCs/>
      <w:sz w:val="28"/>
      <w:szCs w:val="28"/>
    </w:rPr>
  </w:style>
  <w:style w:type="paragraph" w:customStyle="1" w:styleId="Estilo2">
    <w:name w:val="Estilo2"/>
    <w:basedOn w:val="Normal"/>
    <w:next w:val="Normal"/>
    <w:rsid w:val="00200C9B"/>
    <w:pPr>
      <w:jc w:val="both"/>
    </w:pPr>
    <w:rPr>
      <w:b/>
    </w:rPr>
  </w:style>
  <w:style w:type="paragraph" w:customStyle="1" w:styleId="Negrita">
    <w:name w:val="Negrita"/>
    <w:basedOn w:val="Normal"/>
    <w:next w:val="Normal"/>
    <w:rsid w:val="00200C9B"/>
    <w:rPr>
      <w:b/>
      <w:color w:val="FF0000"/>
    </w:rPr>
  </w:style>
  <w:style w:type="paragraph" w:customStyle="1" w:styleId="UNO">
    <w:name w:val="UNO"/>
    <w:basedOn w:val="Normal"/>
    <w:next w:val="Normal"/>
    <w:autoRedefine/>
    <w:rsid w:val="00200C9B"/>
    <w:pPr>
      <w:outlineLvl w:val="0"/>
    </w:pPr>
    <w:rPr>
      <w:b/>
      <w:caps/>
      <w:sz w:val="32"/>
    </w:rPr>
  </w:style>
  <w:style w:type="paragraph" w:customStyle="1" w:styleId="DOS">
    <w:name w:val="DOS"/>
    <w:basedOn w:val="Normal"/>
    <w:next w:val="Normal"/>
    <w:autoRedefine/>
    <w:rsid w:val="00200C9B"/>
    <w:pPr>
      <w:jc w:val="center"/>
      <w:outlineLvl w:val="0"/>
    </w:pPr>
    <w:rPr>
      <w:b/>
      <w:caps/>
      <w:sz w:val="28"/>
      <w:u w:val="single"/>
    </w:rPr>
  </w:style>
  <w:style w:type="paragraph" w:customStyle="1" w:styleId="TRES">
    <w:name w:val="TRES"/>
    <w:basedOn w:val="Normal"/>
    <w:next w:val="Normal"/>
    <w:autoRedefine/>
    <w:rsid w:val="00200C9B"/>
    <w:pPr>
      <w:outlineLvl w:val="0"/>
    </w:pPr>
    <w:rPr>
      <w:b/>
      <w:i/>
    </w:rPr>
  </w:style>
  <w:style w:type="paragraph" w:customStyle="1" w:styleId="NEGRITA14">
    <w:name w:val="NEGRITA14"/>
    <w:basedOn w:val="Normal"/>
    <w:next w:val="Normal"/>
    <w:autoRedefine/>
    <w:rsid w:val="00200C9B"/>
    <w:pPr>
      <w:jc w:val="both"/>
    </w:pPr>
    <w:rPr>
      <w:b/>
      <w:caps/>
      <w:sz w:val="28"/>
    </w:rPr>
  </w:style>
  <w:style w:type="paragraph" w:customStyle="1" w:styleId="Estilo1">
    <w:name w:val="Estilo1"/>
    <w:basedOn w:val="Normal"/>
    <w:next w:val="Normal"/>
    <w:rsid w:val="00200C9B"/>
    <w:pPr>
      <w:pBdr>
        <w:top w:val="single" w:sz="4" w:space="1" w:color="auto"/>
        <w:left w:val="single" w:sz="4" w:space="4" w:color="auto"/>
        <w:bottom w:val="single" w:sz="4" w:space="1" w:color="auto"/>
        <w:right w:val="single" w:sz="4" w:space="4" w:color="auto"/>
      </w:pBdr>
      <w:jc w:val="both"/>
    </w:pPr>
  </w:style>
  <w:style w:type="paragraph" w:styleId="Piedepgina">
    <w:name w:val="footer"/>
    <w:basedOn w:val="Normal"/>
    <w:link w:val="PiedepginaCar"/>
    <w:rsid w:val="00200C9B"/>
    <w:pPr>
      <w:tabs>
        <w:tab w:val="center" w:pos="4252"/>
        <w:tab w:val="right" w:pos="8504"/>
      </w:tabs>
    </w:pPr>
    <w:rPr>
      <w:rFonts w:cs="Times New Roman"/>
      <w:lang w:val="x-none" w:eastAsia="x-none"/>
    </w:rPr>
  </w:style>
  <w:style w:type="character" w:customStyle="1" w:styleId="PiedepginaCar">
    <w:name w:val="Pie de página Car"/>
    <w:link w:val="Piedepgina"/>
    <w:uiPriority w:val="99"/>
    <w:locked/>
    <w:rsid w:val="000A6DEF"/>
    <w:rPr>
      <w:rFonts w:ascii="Arial" w:hAnsi="Arial" w:cs="Arial"/>
      <w:sz w:val="24"/>
    </w:rPr>
  </w:style>
  <w:style w:type="paragraph" w:styleId="Encabezado">
    <w:name w:val="header"/>
    <w:basedOn w:val="Normal"/>
    <w:link w:val="EncabezadoCar"/>
    <w:rsid w:val="00200C9B"/>
    <w:pPr>
      <w:tabs>
        <w:tab w:val="center" w:pos="4252"/>
        <w:tab w:val="right" w:pos="8504"/>
      </w:tabs>
    </w:pPr>
    <w:rPr>
      <w:rFonts w:cs="Times New Roman"/>
      <w:lang w:val="x-none" w:eastAsia="x-none"/>
    </w:rPr>
  </w:style>
  <w:style w:type="character" w:customStyle="1" w:styleId="EncabezadoCar">
    <w:name w:val="Encabezado Car"/>
    <w:link w:val="Encabezado"/>
    <w:uiPriority w:val="99"/>
    <w:locked/>
    <w:rsid w:val="000A6DEF"/>
    <w:rPr>
      <w:rFonts w:ascii="Arial" w:hAnsi="Arial" w:cs="Arial"/>
      <w:sz w:val="24"/>
    </w:rPr>
  </w:style>
  <w:style w:type="character" w:styleId="Nmerodepgina">
    <w:name w:val="page number"/>
    <w:rsid w:val="00200C9B"/>
    <w:rPr>
      <w:rFonts w:cs="Times New Roman"/>
    </w:rPr>
  </w:style>
  <w:style w:type="paragraph" w:customStyle="1" w:styleId="Rpido">
    <w:name w:val="Rápido _"/>
    <w:uiPriority w:val="99"/>
    <w:rsid w:val="00200C9B"/>
    <w:rPr>
      <w:sz w:val="24"/>
      <w:lang w:val="es-ES_tradnl"/>
    </w:rPr>
  </w:style>
  <w:style w:type="paragraph" w:styleId="Sangradetextonormal">
    <w:name w:val="Body Text Indent"/>
    <w:basedOn w:val="Normal"/>
    <w:link w:val="SangradetextonormalCar"/>
    <w:rsid w:val="00200C9B"/>
    <w:pPr>
      <w:ind w:left="851"/>
      <w:jc w:val="both"/>
    </w:pPr>
    <w:rPr>
      <w:rFonts w:cs="Times New Roman"/>
      <w:lang w:val="x-none" w:eastAsia="x-none"/>
    </w:rPr>
  </w:style>
  <w:style w:type="character" w:customStyle="1" w:styleId="SangradetextonormalCar">
    <w:name w:val="Sangría de texto normal Car"/>
    <w:link w:val="Sangradetextonormal"/>
    <w:semiHidden/>
    <w:locked/>
    <w:rsid w:val="000A6DEF"/>
    <w:rPr>
      <w:rFonts w:ascii="Arial" w:hAnsi="Arial" w:cs="Arial"/>
      <w:sz w:val="24"/>
    </w:rPr>
  </w:style>
  <w:style w:type="paragraph" w:styleId="Textoindependiente">
    <w:name w:val="Body Text"/>
    <w:basedOn w:val="Normal"/>
    <w:link w:val="TextoindependienteCar"/>
    <w:rsid w:val="00200C9B"/>
    <w:rPr>
      <w:rFonts w:cs="Times New Roman"/>
      <w:lang w:val="x-none" w:eastAsia="x-none"/>
    </w:rPr>
  </w:style>
  <w:style w:type="character" w:customStyle="1" w:styleId="TextoindependienteCar">
    <w:name w:val="Texto independiente Car"/>
    <w:link w:val="Textoindependiente"/>
    <w:semiHidden/>
    <w:locked/>
    <w:rsid w:val="000A6DEF"/>
    <w:rPr>
      <w:rFonts w:ascii="Arial" w:hAnsi="Arial" w:cs="Arial"/>
      <w:sz w:val="24"/>
    </w:rPr>
  </w:style>
  <w:style w:type="paragraph" w:styleId="Textodeglobo">
    <w:name w:val="Balloon Text"/>
    <w:basedOn w:val="Normal"/>
    <w:link w:val="TextodegloboCar"/>
    <w:semiHidden/>
    <w:rsid w:val="00590A04"/>
    <w:rPr>
      <w:rFonts w:ascii="Times New Roman" w:hAnsi="Times New Roman" w:cs="Times New Roman"/>
      <w:sz w:val="2"/>
      <w:lang w:val="x-none" w:eastAsia="x-none"/>
    </w:rPr>
  </w:style>
  <w:style w:type="character" w:customStyle="1" w:styleId="TextodegloboCar">
    <w:name w:val="Texto de globo Car"/>
    <w:link w:val="Textodeglobo"/>
    <w:semiHidden/>
    <w:locked/>
    <w:rsid w:val="000A6DEF"/>
    <w:rPr>
      <w:rFonts w:cs="Arial"/>
      <w:sz w:val="2"/>
    </w:rPr>
  </w:style>
  <w:style w:type="character" w:styleId="Hipervnculo">
    <w:name w:val="Hyperlink"/>
    <w:rsid w:val="00AF2120"/>
    <w:rPr>
      <w:rFonts w:cs="Times New Roman"/>
      <w:color w:val="0000FF"/>
      <w:u w:val="single"/>
    </w:rPr>
  </w:style>
  <w:style w:type="paragraph" w:customStyle="1" w:styleId="Prrafodelista1">
    <w:name w:val="Párrafo de lista1"/>
    <w:basedOn w:val="Normal"/>
    <w:rsid w:val="00AD2D25"/>
    <w:pPr>
      <w:ind w:left="708"/>
    </w:pPr>
    <w:rPr>
      <w:rFonts w:ascii="Times New Roman" w:hAnsi="Times New Roman" w:cs="Times New Roman"/>
      <w:sz w:val="20"/>
    </w:rPr>
  </w:style>
  <w:style w:type="paragraph" w:styleId="Textonotaalfinal">
    <w:name w:val="endnote text"/>
    <w:basedOn w:val="Normal"/>
    <w:link w:val="TextonotaalfinalCar"/>
    <w:rsid w:val="001304DE"/>
    <w:rPr>
      <w:rFonts w:ascii="Times New Roman" w:hAnsi="Times New Roman" w:cs="Times New Roman"/>
      <w:sz w:val="20"/>
    </w:rPr>
  </w:style>
  <w:style w:type="character" w:customStyle="1" w:styleId="TextonotaalfinalCar">
    <w:name w:val="Texto nota al final Car"/>
    <w:link w:val="Textonotaalfinal"/>
    <w:rsid w:val="001304DE"/>
    <w:rPr>
      <w:lang w:val="es-ES" w:eastAsia="es-ES" w:bidi="ar-SA"/>
    </w:rPr>
  </w:style>
  <w:style w:type="character" w:styleId="Refdenotaalfinal">
    <w:name w:val="endnote reference"/>
    <w:semiHidden/>
    <w:rsid w:val="001304DE"/>
    <w:rPr>
      <w:vertAlign w:val="superscript"/>
    </w:rPr>
  </w:style>
  <w:style w:type="paragraph" w:styleId="Prrafodelista">
    <w:name w:val="List Paragraph"/>
    <w:basedOn w:val="Normal"/>
    <w:uiPriority w:val="34"/>
    <w:qFormat/>
    <w:rsid w:val="001304DE"/>
    <w:pPr>
      <w:ind w:left="720"/>
      <w:contextualSpacing/>
    </w:pPr>
    <w:rPr>
      <w:rFonts w:ascii="Times New Roman" w:hAnsi="Times New Roman" w:cs="Times New Roman"/>
      <w:szCs w:val="24"/>
    </w:rPr>
  </w:style>
  <w:style w:type="table" w:styleId="Tablaconcuadrcula">
    <w:name w:val="Table Grid"/>
    <w:basedOn w:val="Tablanormal"/>
    <w:uiPriority w:val="39"/>
    <w:locked/>
    <w:rsid w:val="00D864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terCarcterCharCharCharChar">
    <w:name w:val="Carácter Carácter Char Char Char Char"/>
    <w:basedOn w:val="Normal"/>
    <w:next w:val="Normal"/>
    <w:rsid w:val="00CB428C"/>
    <w:pPr>
      <w:spacing w:after="160" w:line="240" w:lineRule="exact"/>
    </w:pPr>
    <w:rPr>
      <w:rFonts w:ascii="Tahoma" w:hAnsi="Tahoma" w:cs="Times New Roman"/>
      <w:lang w:val="en-GB" w:eastAsia="en-US"/>
    </w:rPr>
  </w:style>
  <w:style w:type="paragraph" w:styleId="Sangra3detindependiente">
    <w:name w:val="Body Text Indent 3"/>
    <w:basedOn w:val="Normal"/>
    <w:link w:val="Sangra3detindependienteCar"/>
    <w:rsid w:val="00E42BE3"/>
    <w:pPr>
      <w:spacing w:after="120"/>
      <w:ind w:left="283"/>
    </w:pPr>
    <w:rPr>
      <w:rFonts w:cs="Times New Roman"/>
      <w:sz w:val="16"/>
      <w:szCs w:val="16"/>
      <w:lang w:val="x-none" w:eastAsia="x-none"/>
    </w:rPr>
  </w:style>
  <w:style w:type="character" w:customStyle="1" w:styleId="Sangra3detindependienteCar">
    <w:name w:val="Sangría 3 de t. independiente Car"/>
    <w:link w:val="Sangra3detindependiente"/>
    <w:rsid w:val="00E42BE3"/>
    <w:rPr>
      <w:rFonts w:ascii="Arial" w:hAnsi="Arial" w:cs="Arial"/>
      <w:sz w:val="16"/>
      <w:szCs w:val="16"/>
    </w:rPr>
  </w:style>
  <w:style w:type="paragraph" w:styleId="Listaconvietas">
    <w:name w:val="List Bullet"/>
    <w:basedOn w:val="Normal"/>
    <w:rsid w:val="000B5458"/>
    <w:pPr>
      <w:numPr>
        <w:numId w:val="2"/>
      </w:numPr>
    </w:pPr>
    <w:rPr>
      <w:rFonts w:ascii="Times New Roman" w:hAnsi="Times New Roman" w:cs="Times New Roman"/>
      <w:szCs w:val="24"/>
    </w:rPr>
  </w:style>
  <w:style w:type="character" w:customStyle="1" w:styleId="u-linkcomplex-target">
    <w:name w:val="u-linkcomplex-target"/>
    <w:rsid w:val="001676B8"/>
  </w:style>
  <w:style w:type="paragraph" w:styleId="Saludo">
    <w:name w:val="Salutation"/>
    <w:basedOn w:val="Normal"/>
    <w:next w:val="Normal"/>
    <w:link w:val="SaludoCar"/>
    <w:rsid w:val="00EB7DAC"/>
    <w:rPr>
      <w:rFonts w:ascii="Times New Roman" w:hAnsi="Times New Roman" w:cs="Times New Roman"/>
      <w:szCs w:val="24"/>
    </w:rPr>
  </w:style>
  <w:style w:type="character" w:customStyle="1" w:styleId="SaludoCar">
    <w:name w:val="Saludo Car"/>
    <w:link w:val="Saludo"/>
    <w:rsid w:val="00EB7DAC"/>
    <w:rPr>
      <w:sz w:val="24"/>
      <w:szCs w:val="24"/>
    </w:rPr>
  </w:style>
  <w:style w:type="paragraph" w:styleId="Listaconvietas2">
    <w:name w:val="List Bullet 2"/>
    <w:basedOn w:val="Normal"/>
    <w:rsid w:val="003A02F6"/>
    <w:pPr>
      <w:numPr>
        <w:numId w:val="3"/>
      </w:numPr>
      <w:contextualSpacing/>
    </w:pPr>
  </w:style>
  <w:style w:type="character" w:styleId="nfasisintenso">
    <w:name w:val="Intense Emphasis"/>
    <w:uiPriority w:val="21"/>
    <w:qFormat/>
    <w:rsid w:val="0057316B"/>
    <w:rPr>
      <w:b/>
      <w:bCs/>
      <w:i/>
      <w:iCs/>
      <w:color w:val="4F81BD"/>
    </w:rPr>
  </w:style>
  <w:style w:type="character" w:styleId="Hipervnculovisitado">
    <w:name w:val="FollowedHyperlink"/>
    <w:basedOn w:val="Fuentedeprrafopredeter"/>
    <w:rsid w:val="00993698"/>
    <w:rPr>
      <w:color w:val="800080" w:themeColor="followedHyperlink"/>
      <w:u w:val="single"/>
    </w:rPr>
  </w:style>
  <w:style w:type="paragraph" w:styleId="NormalWeb">
    <w:name w:val="Normal (Web)"/>
    <w:basedOn w:val="Normal"/>
    <w:rsid w:val="003C771F"/>
    <w:rPr>
      <w:rFonts w:ascii="Times New Roman" w:hAnsi="Times New Roman" w:cs="Times New Roman"/>
      <w:szCs w:val="24"/>
    </w:rPr>
  </w:style>
  <w:style w:type="paragraph" w:styleId="Textonotapie">
    <w:name w:val="footnote text"/>
    <w:basedOn w:val="Normal"/>
    <w:link w:val="TextonotapieCar"/>
    <w:uiPriority w:val="99"/>
    <w:rsid w:val="00723634"/>
    <w:pPr>
      <w:spacing w:after="240"/>
      <w:jc w:val="both"/>
    </w:pPr>
    <w:rPr>
      <w:rFonts w:cs="Times New Roman"/>
      <w:sz w:val="20"/>
      <w:lang w:val="es-ES_tradnl"/>
    </w:rPr>
  </w:style>
  <w:style w:type="character" w:customStyle="1" w:styleId="TextonotapieCar">
    <w:name w:val="Texto nota pie Car"/>
    <w:basedOn w:val="Fuentedeprrafopredeter"/>
    <w:link w:val="Textonotapie"/>
    <w:uiPriority w:val="99"/>
    <w:rsid w:val="00723634"/>
    <w:rPr>
      <w:rFonts w:ascii="Arial" w:hAnsi="Arial"/>
      <w:lang w:val="es-ES_tradnl"/>
    </w:rPr>
  </w:style>
  <w:style w:type="character" w:styleId="Refdenotaalpie">
    <w:name w:val="footnote reference"/>
    <w:uiPriority w:val="99"/>
    <w:rsid w:val="00723634"/>
    <w:rPr>
      <w:vertAlign w:val="superscript"/>
    </w:rPr>
  </w:style>
  <w:style w:type="character" w:customStyle="1" w:styleId="st">
    <w:name w:val="st"/>
    <w:basedOn w:val="Fuentedeprrafopredeter"/>
    <w:rsid w:val="00723634"/>
  </w:style>
  <w:style w:type="paragraph" w:customStyle="1" w:styleId="Default">
    <w:name w:val="Default"/>
    <w:rsid w:val="00094AFF"/>
    <w:pPr>
      <w:autoSpaceDE w:val="0"/>
      <w:autoSpaceDN w:val="0"/>
      <w:adjustRightInd w:val="0"/>
    </w:pPr>
    <w:rPr>
      <w:rFonts w:ascii="Calibri" w:hAnsi="Calibri" w:cs="Calibri"/>
      <w:color w:val="000000"/>
      <w:sz w:val="24"/>
      <w:szCs w:val="24"/>
    </w:rPr>
  </w:style>
  <w:style w:type="character" w:customStyle="1" w:styleId="Ttulo5Car">
    <w:name w:val="Título 5 Car"/>
    <w:basedOn w:val="Fuentedeprrafopredeter"/>
    <w:link w:val="Ttulo5"/>
    <w:semiHidden/>
    <w:rsid w:val="0048470D"/>
    <w:rPr>
      <w:rFonts w:asciiTheme="majorHAnsi" w:eastAsiaTheme="majorEastAsia" w:hAnsiTheme="majorHAnsi" w:cstheme="majorBidi"/>
      <w:color w:val="243F60" w:themeColor="accent1" w:themeShade="7F"/>
      <w:sz w:val="24"/>
    </w:rPr>
  </w:style>
  <w:style w:type="table" w:styleId="Tablabsica2">
    <w:name w:val="Table Simple 2"/>
    <w:basedOn w:val="Tablanormal"/>
    <w:rsid w:val="000E50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48792852">
      <w:bodyDiv w:val="1"/>
      <w:marLeft w:val="0"/>
      <w:marRight w:val="0"/>
      <w:marTop w:val="0"/>
      <w:marBottom w:val="0"/>
      <w:divBdr>
        <w:top w:val="none" w:sz="0" w:space="0" w:color="auto"/>
        <w:left w:val="none" w:sz="0" w:space="0" w:color="auto"/>
        <w:bottom w:val="none" w:sz="0" w:space="0" w:color="auto"/>
        <w:right w:val="none" w:sz="0" w:space="0" w:color="auto"/>
      </w:divBdr>
    </w:div>
    <w:div w:id="203293910">
      <w:bodyDiv w:val="1"/>
      <w:marLeft w:val="0"/>
      <w:marRight w:val="0"/>
      <w:marTop w:val="0"/>
      <w:marBottom w:val="0"/>
      <w:divBdr>
        <w:top w:val="none" w:sz="0" w:space="0" w:color="auto"/>
        <w:left w:val="none" w:sz="0" w:space="0" w:color="auto"/>
        <w:bottom w:val="none" w:sz="0" w:space="0" w:color="auto"/>
        <w:right w:val="none" w:sz="0" w:space="0" w:color="auto"/>
      </w:divBdr>
    </w:div>
    <w:div w:id="222452543">
      <w:bodyDiv w:val="1"/>
      <w:marLeft w:val="0"/>
      <w:marRight w:val="0"/>
      <w:marTop w:val="0"/>
      <w:marBottom w:val="0"/>
      <w:divBdr>
        <w:top w:val="none" w:sz="0" w:space="0" w:color="auto"/>
        <w:left w:val="none" w:sz="0" w:space="0" w:color="auto"/>
        <w:bottom w:val="none" w:sz="0" w:space="0" w:color="auto"/>
        <w:right w:val="none" w:sz="0" w:space="0" w:color="auto"/>
      </w:divBdr>
      <w:divsChild>
        <w:div w:id="192885387">
          <w:marLeft w:val="0"/>
          <w:marRight w:val="0"/>
          <w:marTop w:val="0"/>
          <w:marBottom w:val="0"/>
          <w:divBdr>
            <w:top w:val="none" w:sz="0" w:space="0" w:color="auto"/>
            <w:left w:val="none" w:sz="0" w:space="0" w:color="auto"/>
            <w:bottom w:val="none" w:sz="0" w:space="0" w:color="auto"/>
            <w:right w:val="none" w:sz="0" w:space="0" w:color="auto"/>
          </w:divBdr>
        </w:div>
        <w:div w:id="588730504">
          <w:marLeft w:val="0"/>
          <w:marRight w:val="0"/>
          <w:marTop w:val="0"/>
          <w:marBottom w:val="0"/>
          <w:divBdr>
            <w:top w:val="none" w:sz="0" w:space="0" w:color="auto"/>
            <w:left w:val="none" w:sz="0" w:space="0" w:color="auto"/>
            <w:bottom w:val="none" w:sz="0" w:space="0" w:color="auto"/>
            <w:right w:val="none" w:sz="0" w:space="0" w:color="auto"/>
          </w:divBdr>
        </w:div>
        <w:div w:id="505485212">
          <w:marLeft w:val="0"/>
          <w:marRight w:val="0"/>
          <w:marTop w:val="0"/>
          <w:marBottom w:val="0"/>
          <w:divBdr>
            <w:top w:val="none" w:sz="0" w:space="0" w:color="auto"/>
            <w:left w:val="none" w:sz="0" w:space="0" w:color="auto"/>
            <w:bottom w:val="none" w:sz="0" w:space="0" w:color="auto"/>
            <w:right w:val="none" w:sz="0" w:space="0" w:color="auto"/>
          </w:divBdr>
        </w:div>
        <w:div w:id="1013923628">
          <w:marLeft w:val="0"/>
          <w:marRight w:val="0"/>
          <w:marTop w:val="0"/>
          <w:marBottom w:val="0"/>
          <w:divBdr>
            <w:top w:val="none" w:sz="0" w:space="0" w:color="auto"/>
            <w:left w:val="none" w:sz="0" w:space="0" w:color="auto"/>
            <w:bottom w:val="none" w:sz="0" w:space="0" w:color="auto"/>
            <w:right w:val="none" w:sz="0" w:space="0" w:color="auto"/>
          </w:divBdr>
        </w:div>
        <w:div w:id="138621397">
          <w:marLeft w:val="0"/>
          <w:marRight w:val="0"/>
          <w:marTop w:val="0"/>
          <w:marBottom w:val="0"/>
          <w:divBdr>
            <w:top w:val="none" w:sz="0" w:space="0" w:color="auto"/>
            <w:left w:val="none" w:sz="0" w:space="0" w:color="auto"/>
            <w:bottom w:val="none" w:sz="0" w:space="0" w:color="auto"/>
            <w:right w:val="none" w:sz="0" w:space="0" w:color="auto"/>
          </w:divBdr>
        </w:div>
        <w:div w:id="1452943327">
          <w:marLeft w:val="0"/>
          <w:marRight w:val="0"/>
          <w:marTop w:val="0"/>
          <w:marBottom w:val="0"/>
          <w:divBdr>
            <w:top w:val="none" w:sz="0" w:space="0" w:color="auto"/>
            <w:left w:val="none" w:sz="0" w:space="0" w:color="auto"/>
            <w:bottom w:val="none" w:sz="0" w:space="0" w:color="auto"/>
            <w:right w:val="none" w:sz="0" w:space="0" w:color="auto"/>
          </w:divBdr>
        </w:div>
        <w:div w:id="472915434">
          <w:marLeft w:val="0"/>
          <w:marRight w:val="0"/>
          <w:marTop w:val="0"/>
          <w:marBottom w:val="0"/>
          <w:divBdr>
            <w:top w:val="none" w:sz="0" w:space="0" w:color="auto"/>
            <w:left w:val="none" w:sz="0" w:space="0" w:color="auto"/>
            <w:bottom w:val="none" w:sz="0" w:space="0" w:color="auto"/>
            <w:right w:val="none" w:sz="0" w:space="0" w:color="auto"/>
          </w:divBdr>
        </w:div>
        <w:div w:id="502814805">
          <w:marLeft w:val="0"/>
          <w:marRight w:val="0"/>
          <w:marTop w:val="0"/>
          <w:marBottom w:val="0"/>
          <w:divBdr>
            <w:top w:val="none" w:sz="0" w:space="0" w:color="auto"/>
            <w:left w:val="none" w:sz="0" w:space="0" w:color="auto"/>
            <w:bottom w:val="none" w:sz="0" w:space="0" w:color="auto"/>
            <w:right w:val="none" w:sz="0" w:space="0" w:color="auto"/>
          </w:divBdr>
        </w:div>
        <w:div w:id="1349215887">
          <w:marLeft w:val="0"/>
          <w:marRight w:val="0"/>
          <w:marTop w:val="0"/>
          <w:marBottom w:val="0"/>
          <w:divBdr>
            <w:top w:val="none" w:sz="0" w:space="0" w:color="auto"/>
            <w:left w:val="none" w:sz="0" w:space="0" w:color="auto"/>
            <w:bottom w:val="none" w:sz="0" w:space="0" w:color="auto"/>
            <w:right w:val="none" w:sz="0" w:space="0" w:color="auto"/>
          </w:divBdr>
        </w:div>
        <w:div w:id="279845099">
          <w:marLeft w:val="0"/>
          <w:marRight w:val="0"/>
          <w:marTop w:val="0"/>
          <w:marBottom w:val="0"/>
          <w:divBdr>
            <w:top w:val="none" w:sz="0" w:space="0" w:color="auto"/>
            <w:left w:val="none" w:sz="0" w:space="0" w:color="auto"/>
            <w:bottom w:val="none" w:sz="0" w:space="0" w:color="auto"/>
            <w:right w:val="none" w:sz="0" w:space="0" w:color="auto"/>
          </w:divBdr>
        </w:div>
      </w:divsChild>
    </w:div>
    <w:div w:id="264389280">
      <w:bodyDiv w:val="1"/>
      <w:marLeft w:val="0"/>
      <w:marRight w:val="0"/>
      <w:marTop w:val="0"/>
      <w:marBottom w:val="0"/>
      <w:divBdr>
        <w:top w:val="none" w:sz="0" w:space="0" w:color="auto"/>
        <w:left w:val="none" w:sz="0" w:space="0" w:color="auto"/>
        <w:bottom w:val="none" w:sz="0" w:space="0" w:color="auto"/>
        <w:right w:val="none" w:sz="0" w:space="0" w:color="auto"/>
      </w:divBdr>
    </w:div>
    <w:div w:id="321012909">
      <w:bodyDiv w:val="1"/>
      <w:marLeft w:val="0"/>
      <w:marRight w:val="0"/>
      <w:marTop w:val="0"/>
      <w:marBottom w:val="0"/>
      <w:divBdr>
        <w:top w:val="none" w:sz="0" w:space="0" w:color="auto"/>
        <w:left w:val="none" w:sz="0" w:space="0" w:color="auto"/>
        <w:bottom w:val="none" w:sz="0" w:space="0" w:color="auto"/>
        <w:right w:val="none" w:sz="0" w:space="0" w:color="auto"/>
      </w:divBdr>
      <w:divsChild>
        <w:div w:id="335310053">
          <w:marLeft w:val="0"/>
          <w:marRight w:val="0"/>
          <w:marTop w:val="0"/>
          <w:marBottom w:val="0"/>
          <w:divBdr>
            <w:top w:val="none" w:sz="0" w:space="0" w:color="auto"/>
            <w:left w:val="none" w:sz="0" w:space="0" w:color="auto"/>
            <w:bottom w:val="none" w:sz="0" w:space="0" w:color="auto"/>
            <w:right w:val="none" w:sz="0" w:space="0" w:color="auto"/>
          </w:divBdr>
        </w:div>
        <w:div w:id="1052655360">
          <w:marLeft w:val="0"/>
          <w:marRight w:val="0"/>
          <w:marTop w:val="0"/>
          <w:marBottom w:val="0"/>
          <w:divBdr>
            <w:top w:val="none" w:sz="0" w:space="0" w:color="auto"/>
            <w:left w:val="none" w:sz="0" w:space="0" w:color="auto"/>
            <w:bottom w:val="none" w:sz="0" w:space="0" w:color="auto"/>
            <w:right w:val="none" w:sz="0" w:space="0" w:color="auto"/>
          </w:divBdr>
        </w:div>
        <w:div w:id="108092080">
          <w:marLeft w:val="0"/>
          <w:marRight w:val="0"/>
          <w:marTop w:val="0"/>
          <w:marBottom w:val="0"/>
          <w:divBdr>
            <w:top w:val="none" w:sz="0" w:space="0" w:color="auto"/>
            <w:left w:val="none" w:sz="0" w:space="0" w:color="auto"/>
            <w:bottom w:val="none" w:sz="0" w:space="0" w:color="auto"/>
            <w:right w:val="none" w:sz="0" w:space="0" w:color="auto"/>
          </w:divBdr>
        </w:div>
        <w:div w:id="589965937">
          <w:marLeft w:val="0"/>
          <w:marRight w:val="0"/>
          <w:marTop w:val="0"/>
          <w:marBottom w:val="0"/>
          <w:divBdr>
            <w:top w:val="none" w:sz="0" w:space="0" w:color="auto"/>
            <w:left w:val="none" w:sz="0" w:space="0" w:color="auto"/>
            <w:bottom w:val="none" w:sz="0" w:space="0" w:color="auto"/>
            <w:right w:val="none" w:sz="0" w:space="0" w:color="auto"/>
          </w:divBdr>
        </w:div>
        <w:div w:id="1132095636">
          <w:marLeft w:val="0"/>
          <w:marRight w:val="0"/>
          <w:marTop w:val="0"/>
          <w:marBottom w:val="0"/>
          <w:divBdr>
            <w:top w:val="none" w:sz="0" w:space="0" w:color="auto"/>
            <w:left w:val="none" w:sz="0" w:space="0" w:color="auto"/>
            <w:bottom w:val="none" w:sz="0" w:space="0" w:color="auto"/>
            <w:right w:val="none" w:sz="0" w:space="0" w:color="auto"/>
          </w:divBdr>
        </w:div>
        <w:div w:id="382943995">
          <w:marLeft w:val="0"/>
          <w:marRight w:val="0"/>
          <w:marTop w:val="0"/>
          <w:marBottom w:val="0"/>
          <w:divBdr>
            <w:top w:val="none" w:sz="0" w:space="0" w:color="auto"/>
            <w:left w:val="none" w:sz="0" w:space="0" w:color="auto"/>
            <w:bottom w:val="none" w:sz="0" w:space="0" w:color="auto"/>
            <w:right w:val="none" w:sz="0" w:space="0" w:color="auto"/>
          </w:divBdr>
        </w:div>
        <w:div w:id="778187766">
          <w:marLeft w:val="0"/>
          <w:marRight w:val="0"/>
          <w:marTop w:val="0"/>
          <w:marBottom w:val="0"/>
          <w:divBdr>
            <w:top w:val="none" w:sz="0" w:space="0" w:color="auto"/>
            <w:left w:val="none" w:sz="0" w:space="0" w:color="auto"/>
            <w:bottom w:val="none" w:sz="0" w:space="0" w:color="auto"/>
            <w:right w:val="none" w:sz="0" w:space="0" w:color="auto"/>
          </w:divBdr>
        </w:div>
        <w:div w:id="158081305">
          <w:marLeft w:val="0"/>
          <w:marRight w:val="0"/>
          <w:marTop w:val="0"/>
          <w:marBottom w:val="0"/>
          <w:divBdr>
            <w:top w:val="none" w:sz="0" w:space="0" w:color="auto"/>
            <w:left w:val="none" w:sz="0" w:space="0" w:color="auto"/>
            <w:bottom w:val="none" w:sz="0" w:space="0" w:color="auto"/>
            <w:right w:val="none" w:sz="0" w:space="0" w:color="auto"/>
          </w:divBdr>
        </w:div>
        <w:div w:id="1083722755">
          <w:marLeft w:val="0"/>
          <w:marRight w:val="0"/>
          <w:marTop w:val="0"/>
          <w:marBottom w:val="0"/>
          <w:divBdr>
            <w:top w:val="none" w:sz="0" w:space="0" w:color="auto"/>
            <w:left w:val="none" w:sz="0" w:space="0" w:color="auto"/>
            <w:bottom w:val="none" w:sz="0" w:space="0" w:color="auto"/>
            <w:right w:val="none" w:sz="0" w:space="0" w:color="auto"/>
          </w:divBdr>
        </w:div>
        <w:div w:id="934050303">
          <w:marLeft w:val="0"/>
          <w:marRight w:val="0"/>
          <w:marTop w:val="0"/>
          <w:marBottom w:val="0"/>
          <w:divBdr>
            <w:top w:val="none" w:sz="0" w:space="0" w:color="auto"/>
            <w:left w:val="none" w:sz="0" w:space="0" w:color="auto"/>
            <w:bottom w:val="none" w:sz="0" w:space="0" w:color="auto"/>
            <w:right w:val="none" w:sz="0" w:space="0" w:color="auto"/>
          </w:divBdr>
        </w:div>
        <w:div w:id="1710106235">
          <w:marLeft w:val="0"/>
          <w:marRight w:val="0"/>
          <w:marTop w:val="0"/>
          <w:marBottom w:val="0"/>
          <w:divBdr>
            <w:top w:val="none" w:sz="0" w:space="0" w:color="auto"/>
            <w:left w:val="none" w:sz="0" w:space="0" w:color="auto"/>
            <w:bottom w:val="none" w:sz="0" w:space="0" w:color="auto"/>
            <w:right w:val="none" w:sz="0" w:space="0" w:color="auto"/>
          </w:divBdr>
        </w:div>
        <w:div w:id="1516386049">
          <w:marLeft w:val="0"/>
          <w:marRight w:val="0"/>
          <w:marTop w:val="0"/>
          <w:marBottom w:val="0"/>
          <w:divBdr>
            <w:top w:val="none" w:sz="0" w:space="0" w:color="auto"/>
            <w:left w:val="none" w:sz="0" w:space="0" w:color="auto"/>
            <w:bottom w:val="none" w:sz="0" w:space="0" w:color="auto"/>
            <w:right w:val="none" w:sz="0" w:space="0" w:color="auto"/>
          </w:divBdr>
        </w:div>
        <w:div w:id="780422052">
          <w:marLeft w:val="0"/>
          <w:marRight w:val="0"/>
          <w:marTop w:val="0"/>
          <w:marBottom w:val="0"/>
          <w:divBdr>
            <w:top w:val="none" w:sz="0" w:space="0" w:color="auto"/>
            <w:left w:val="none" w:sz="0" w:space="0" w:color="auto"/>
            <w:bottom w:val="none" w:sz="0" w:space="0" w:color="auto"/>
            <w:right w:val="none" w:sz="0" w:space="0" w:color="auto"/>
          </w:divBdr>
        </w:div>
        <w:div w:id="1872064543">
          <w:marLeft w:val="0"/>
          <w:marRight w:val="0"/>
          <w:marTop w:val="0"/>
          <w:marBottom w:val="0"/>
          <w:divBdr>
            <w:top w:val="none" w:sz="0" w:space="0" w:color="auto"/>
            <w:left w:val="none" w:sz="0" w:space="0" w:color="auto"/>
            <w:bottom w:val="none" w:sz="0" w:space="0" w:color="auto"/>
            <w:right w:val="none" w:sz="0" w:space="0" w:color="auto"/>
          </w:divBdr>
        </w:div>
        <w:div w:id="1834838387">
          <w:marLeft w:val="0"/>
          <w:marRight w:val="0"/>
          <w:marTop w:val="0"/>
          <w:marBottom w:val="0"/>
          <w:divBdr>
            <w:top w:val="none" w:sz="0" w:space="0" w:color="auto"/>
            <w:left w:val="none" w:sz="0" w:space="0" w:color="auto"/>
            <w:bottom w:val="none" w:sz="0" w:space="0" w:color="auto"/>
            <w:right w:val="none" w:sz="0" w:space="0" w:color="auto"/>
          </w:divBdr>
        </w:div>
      </w:divsChild>
    </w:div>
    <w:div w:id="629557178">
      <w:bodyDiv w:val="1"/>
      <w:marLeft w:val="0"/>
      <w:marRight w:val="0"/>
      <w:marTop w:val="0"/>
      <w:marBottom w:val="0"/>
      <w:divBdr>
        <w:top w:val="none" w:sz="0" w:space="0" w:color="auto"/>
        <w:left w:val="none" w:sz="0" w:space="0" w:color="auto"/>
        <w:bottom w:val="none" w:sz="0" w:space="0" w:color="auto"/>
        <w:right w:val="none" w:sz="0" w:space="0" w:color="auto"/>
      </w:divBdr>
    </w:div>
    <w:div w:id="1118645392">
      <w:bodyDiv w:val="1"/>
      <w:marLeft w:val="0"/>
      <w:marRight w:val="0"/>
      <w:marTop w:val="0"/>
      <w:marBottom w:val="0"/>
      <w:divBdr>
        <w:top w:val="none" w:sz="0" w:space="0" w:color="auto"/>
        <w:left w:val="none" w:sz="0" w:space="0" w:color="auto"/>
        <w:bottom w:val="none" w:sz="0" w:space="0" w:color="auto"/>
        <w:right w:val="none" w:sz="0" w:space="0" w:color="auto"/>
      </w:divBdr>
    </w:div>
    <w:div w:id="1191409794">
      <w:bodyDiv w:val="1"/>
      <w:marLeft w:val="0"/>
      <w:marRight w:val="0"/>
      <w:marTop w:val="0"/>
      <w:marBottom w:val="0"/>
      <w:divBdr>
        <w:top w:val="none" w:sz="0" w:space="0" w:color="auto"/>
        <w:left w:val="none" w:sz="0" w:space="0" w:color="auto"/>
        <w:bottom w:val="none" w:sz="0" w:space="0" w:color="auto"/>
        <w:right w:val="none" w:sz="0" w:space="0" w:color="auto"/>
      </w:divBdr>
    </w:div>
    <w:div w:id="1352030800">
      <w:bodyDiv w:val="1"/>
      <w:marLeft w:val="0"/>
      <w:marRight w:val="0"/>
      <w:marTop w:val="0"/>
      <w:marBottom w:val="0"/>
      <w:divBdr>
        <w:top w:val="none" w:sz="0" w:space="0" w:color="auto"/>
        <w:left w:val="none" w:sz="0" w:space="0" w:color="auto"/>
        <w:bottom w:val="none" w:sz="0" w:space="0" w:color="auto"/>
        <w:right w:val="none" w:sz="0" w:space="0" w:color="auto"/>
      </w:divBdr>
    </w:div>
    <w:div w:id="1400444431">
      <w:bodyDiv w:val="1"/>
      <w:marLeft w:val="0"/>
      <w:marRight w:val="0"/>
      <w:marTop w:val="0"/>
      <w:marBottom w:val="0"/>
      <w:divBdr>
        <w:top w:val="none" w:sz="0" w:space="0" w:color="auto"/>
        <w:left w:val="none" w:sz="0" w:space="0" w:color="auto"/>
        <w:bottom w:val="none" w:sz="0" w:space="0" w:color="auto"/>
        <w:right w:val="none" w:sz="0" w:space="0" w:color="auto"/>
      </w:divBdr>
    </w:div>
    <w:div w:id="1663310300">
      <w:bodyDiv w:val="1"/>
      <w:marLeft w:val="0"/>
      <w:marRight w:val="0"/>
      <w:marTop w:val="0"/>
      <w:marBottom w:val="0"/>
      <w:divBdr>
        <w:top w:val="none" w:sz="0" w:space="0" w:color="auto"/>
        <w:left w:val="none" w:sz="0" w:space="0" w:color="auto"/>
        <w:bottom w:val="none" w:sz="0" w:space="0" w:color="auto"/>
        <w:right w:val="none" w:sz="0" w:space="0" w:color="auto"/>
      </w:divBdr>
    </w:div>
    <w:div w:id="1794329925">
      <w:bodyDiv w:val="1"/>
      <w:marLeft w:val="0"/>
      <w:marRight w:val="0"/>
      <w:marTop w:val="0"/>
      <w:marBottom w:val="0"/>
      <w:divBdr>
        <w:top w:val="none" w:sz="0" w:space="0" w:color="auto"/>
        <w:left w:val="none" w:sz="0" w:space="0" w:color="auto"/>
        <w:bottom w:val="none" w:sz="0" w:space="0" w:color="auto"/>
        <w:right w:val="none" w:sz="0" w:space="0" w:color="auto"/>
      </w:divBdr>
      <w:divsChild>
        <w:div w:id="1715226945">
          <w:marLeft w:val="0"/>
          <w:marRight w:val="0"/>
          <w:marTop w:val="0"/>
          <w:marBottom w:val="0"/>
          <w:divBdr>
            <w:top w:val="none" w:sz="0" w:space="0" w:color="auto"/>
            <w:left w:val="none" w:sz="0" w:space="0" w:color="auto"/>
            <w:bottom w:val="none" w:sz="0" w:space="0" w:color="auto"/>
            <w:right w:val="none" w:sz="0" w:space="0" w:color="auto"/>
          </w:divBdr>
        </w:div>
      </w:divsChild>
    </w:div>
    <w:div w:id="1825193678">
      <w:bodyDiv w:val="1"/>
      <w:marLeft w:val="0"/>
      <w:marRight w:val="0"/>
      <w:marTop w:val="0"/>
      <w:marBottom w:val="0"/>
      <w:divBdr>
        <w:top w:val="none" w:sz="0" w:space="0" w:color="auto"/>
        <w:left w:val="none" w:sz="0" w:space="0" w:color="auto"/>
        <w:bottom w:val="none" w:sz="0" w:space="0" w:color="auto"/>
        <w:right w:val="none" w:sz="0" w:space="0" w:color="auto"/>
      </w:divBdr>
    </w:div>
    <w:div w:id="1908684276">
      <w:bodyDiv w:val="1"/>
      <w:marLeft w:val="0"/>
      <w:marRight w:val="0"/>
      <w:marTop w:val="0"/>
      <w:marBottom w:val="0"/>
      <w:divBdr>
        <w:top w:val="none" w:sz="0" w:space="0" w:color="auto"/>
        <w:left w:val="none" w:sz="0" w:space="0" w:color="auto"/>
        <w:bottom w:val="none" w:sz="0" w:space="0" w:color="auto"/>
        <w:right w:val="none" w:sz="0" w:space="0" w:color="auto"/>
      </w:divBdr>
    </w:div>
    <w:div w:id="1969703265">
      <w:bodyDiv w:val="1"/>
      <w:marLeft w:val="0"/>
      <w:marRight w:val="0"/>
      <w:marTop w:val="0"/>
      <w:marBottom w:val="0"/>
      <w:divBdr>
        <w:top w:val="none" w:sz="0" w:space="0" w:color="auto"/>
        <w:left w:val="none" w:sz="0" w:space="0" w:color="auto"/>
        <w:bottom w:val="none" w:sz="0" w:space="0" w:color="auto"/>
        <w:right w:val="none" w:sz="0" w:space="0" w:color="auto"/>
      </w:divBdr>
      <w:divsChild>
        <w:div w:id="789586756">
          <w:marLeft w:val="0"/>
          <w:marRight w:val="0"/>
          <w:marTop w:val="0"/>
          <w:marBottom w:val="0"/>
          <w:divBdr>
            <w:top w:val="none" w:sz="0" w:space="0" w:color="auto"/>
            <w:left w:val="none" w:sz="0" w:space="0" w:color="auto"/>
            <w:bottom w:val="none" w:sz="0" w:space="0" w:color="auto"/>
            <w:right w:val="none" w:sz="0" w:space="0" w:color="auto"/>
          </w:divBdr>
        </w:div>
      </w:divsChild>
    </w:div>
    <w:div w:id="201275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seat.mpr.es/portal/delegaciones_gobierno/delegaciones/murcia/actualidad/notas_de_prensa.html" TargetMode="External"/><Relationship Id="rId4" Type="http://schemas.openxmlformats.org/officeDocument/2006/relationships/hyperlink" Target="https://twitter.com/DelegGobMurcia"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oleObject" Target="embeddings/oleObject1.bin"/><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rodrigueza\Configuraci&#243;n%20local\Archivos%20temporales%20de%20Internet\OLK12\Plantilla%20Convocator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BEE4DB-F37E-4B40-817C-0E8BA235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Convocatoria</Template>
  <TotalTime>0</TotalTime>
  <Pages>8</Pages>
  <Words>1617</Words>
  <Characters>8899</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vt:lpstr>
    </vt:vector>
  </TitlesOfParts>
  <Company>Ministerio de la Presidencia</Company>
  <LinksUpToDate>false</LinksUpToDate>
  <CharactersWithSpaces>10496</CharactersWithSpaces>
  <SharedDoc>false</SharedDoc>
  <HLinks>
    <vt:vector size="36" baseType="variant">
      <vt:variant>
        <vt:i4>7012387</vt:i4>
      </vt:variant>
      <vt:variant>
        <vt:i4>33</vt:i4>
      </vt:variant>
      <vt:variant>
        <vt:i4>0</vt:i4>
      </vt:variant>
      <vt:variant>
        <vt:i4>5</vt:i4>
      </vt:variant>
      <vt:variant>
        <vt:lpwstr>https://twitter.com/DelegGobMurcia</vt:lpwstr>
      </vt:variant>
      <vt:variant>
        <vt:lpwstr/>
      </vt:variant>
      <vt:variant>
        <vt:i4>5832805</vt:i4>
      </vt:variant>
      <vt:variant>
        <vt:i4>27</vt:i4>
      </vt:variant>
      <vt:variant>
        <vt:i4>0</vt:i4>
      </vt:variant>
      <vt:variant>
        <vt:i4>5</vt:i4>
      </vt:variant>
      <vt:variant>
        <vt:lpwstr>http://www.seap.minhap.gob.es/ministerio/delegaciones_gobierno/delegaciones/murcia.html</vt:lpwstr>
      </vt:variant>
      <vt:variant>
        <vt:lpwstr/>
      </vt:variant>
      <vt:variant>
        <vt:i4>7012387</vt:i4>
      </vt:variant>
      <vt:variant>
        <vt:i4>15</vt:i4>
      </vt:variant>
      <vt:variant>
        <vt:i4>0</vt:i4>
      </vt:variant>
      <vt:variant>
        <vt:i4>5</vt:i4>
      </vt:variant>
      <vt:variant>
        <vt:lpwstr>https://twitter.com/DelegGobMurcia</vt:lpwstr>
      </vt:variant>
      <vt:variant>
        <vt:lpwstr/>
      </vt:variant>
      <vt:variant>
        <vt:i4>5832805</vt:i4>
      </vt:variant>
      <vt:variant>
        <vt:i4>9</vt:i4>
      </vt:variant>
      <vt:variant>
        <vt:i4>0</vt:i4>
      </vt:variant>
      <vt:variant>
        <vt:i4>5</vt:i4>
      </vt:variant>
      <vt:variant>
        <vt:lpwstr>http://www.seap.minhap.gob.es/ministerio/delegaciones_gobierno/delegaciones/murcia.html</vt:lpwstr>
      </vt:variant>
      <vt:variant>
        <vt:lpwstr/>
      </vt:variant>
      <vt:variant>
        <vt:i4>5963821</vt:i4>
      </vt:variant>
      <vt:variant>
        <vt:i4>5054</vt:i4>
      </vt:variant>
      <vt:variant>
        <vt:i4>1025</vt:i4>
      </vt:variant>
      <vt:variant>
        <vt:i4>1</vt:i4>
      </vt:variant>
      <vt:variant>
        <vt:lpwstr>https://encrypted-tbn3.gstatic.com/images?q=tbn:ANd9GcQ5fM36_0zhmrgEiTfZGJt2Jng21UDzEG7rv6YBKEqae0vq5jPAlhyOZRBh</vt:lpwstr>
      </vt:variant>
      <vt:variant>
        <vt:lpwstr/>
      </vt:variant>
      <vt:variant>
        <vt:i4>5963821</vt:i4>
      </vt:variant>
      <vt:variant>
        <vt:i4>5870</vt:i4>
      </vt:variant>
      <vt:variant>
        <vt:i4>1027</vt:i4>
      </vt:variant>
      <vt:variant>
        <vt:i4>1</vt:i4>
      </vt:variant>
      <vt:variant>
        <vt:lpwstr>https://encrypted-tbn3.gstatic.com/images?q=tbn:ANd9GcQ5fM36_0zhmrgEiTfZGJt2Jng21UDzEG7rv6YBKEqae0vq5jPAlhyOZRBh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rrodrigueza</dc:creator>
  <cp:lastModifiedBy>JULIO ALEJANDRO JORQUERA GARCÍA</cp:lastModifiedBy>
  <cp:revision>2</cp:revision>
  <cp:lastPrinted>2019-01-09T10:50:00Z</cp:lastPrinted>
  <dcterms:created xsi:type="dcterms:W3CDTF">2019-01-16T12:52:00Z</dcterms:created>
  <dcterms:modified xsi:type="dcterms:W3CDTF">2019-01-16T12:52:00Z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-662441428</vt:i4>
  </property>
</Properties>
</file>