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84" w:rsidRPr="00A45DCF" w:rsidRDefault="00A45DCF" w:rsidP="00A45DCF">
      <w:pPr>
        <w:pStyle w:val="Piedepgina"/>
        <w:ind w:left="2040"/>
        <w:jc w:val="both"/>
        <w:rPr>
          <w:rFonts w:ascii="Arial Narrow" w:hAnsi="Arial Narrow"/>
          <w:b/>
          <w:noProof/>
          <w:sz w:val="44"/>
          <w:szCs w:val="44"/>
          <w:lang w:val="es-ES" w:eastAsia="es-ES"/>
        </w:rPr>
      </w:pPr>
      <w:bookmarkStart w:id="0" w:name="OLE_LINK1"/>
      <w:bookmarkStart w:id="1" w:name="OLE_LINK2"/>
      <w:bookmarkStart w:id="2" w:name="_GoBack"/>
      <w:r>
        <w:rPr>
          <w:rFonts w:ascii="Arial Narrow" w:hAnsi="Arial Narrow"/>
          <w:b/>
          <w:noProof/>
          <w:sz w:val="44"/>
          <w:szCs w:val="44"/>
          <w:lang w:val="es-ES" w:eastAsia="es-ES"/>
        </w:rPr>
        <w:t xml:space="preserve">Cerca de 3.000 conductores dieron positivo en las 217.562 pruebas de alcoholemia realizadas en 2019 </w:t>
      </w:r>
      <w:r w:rsidR="00807CF5" w:rsidRPr="00366C06">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79DCAD8E" wp14:editId="21FB0930">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BC" w:rsidRPr="00AB22E5" w:rsidRDefault="00ED6CBC"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ED6CBC" w:rsidRPr="00AB22E5" w:rsidRDefault="00ED6CBC"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Pr>
          <w:rFonts w:ascii="Arial Narrow" w:hAnsi="Arial Narrow"/>
          <w:b/>
          <w:noProof/>
          <w:sz w:val="44"/>
          <w:szCs w:val="44"/>
          <w:lang w:val="es-ES" w:eastAsia="es-ES"/>
        </w:rPr>
        <w:t>en vías interurbanas</w:t>
      </w:r>
    </w:p>
    <w:p w:rsidR="007A2509" w:rsidRDefault="007A2509" w:rsidP="00366C06">
      <w:pPr>
        <w:pStyle w:val="Piedepgina"/>
        <w:tabs>
          <w:tab w:val="clear" w:pos="4252"/>
          <w:tab w:val="clear" w:pos="8504"/>
        </w:tabs>
        <w:ind w:left="2040"/>
        <w:jc w:val="both"/>
        <w:rPr>
          <w:rFonts w:ascii="Arial Narrow" w:hAnsi="Arial Narrow"/>
          <w:b/>
          <w:noProof/>
          <w:sz w:val="44"/>
          <w:szCs w:val="44"/>
          <w:lang w:val="es-ES" w:eastAsia="es-ES"/>
        </w:rPr>
      </w:pPr>
    </w:p>
    <w:p w:rsidR="009949B0" w:rsidRPr="003678D4" w:rsidRDefault="009949B0" w:rsidP="003678D4">
      <w:pPr>
        <w:pStyle w:val="Piedepgina"/>
        <w:numPr>
          <w:ilvl w:val="0"/>
          <w:numId w:val="29"/>
        </w:numPr>
        <w:tabs>
          <w:tab w:val="clear" w:pos="4252"/>
          <w:tab w:val="clear" w:pos="8504"/>
        </w:tabs>
        <w:jc w:val="both"/>
        <w:rPr>
          <w:rFonts w:ascii="Arial Narrow" w:hAnsi="Arial Narrow"/>
          <w:b/>
          <w:sz w:val="28"/>
          <w:szCs w:val="28"/>
        </w:rPr>
      </w:pPr>
      <w:r w:rsidRPr="003678D4">
        <w:rPr>
          <w:rFonts w:ascii="Arial Narrow" w:hAnsi="Arial Narrow"/>
          <w:b/>
          <w:sz w:val="28"/>
          <w:szCs w:val="28"/>
          <w:lang w:val="es-ES"/>
        </w:rPr>
        <w:t xml:space="preserve">El </w:t>
      </w:r>
      <w:r w:rsidR="00A45DCF">
        <w:rPr>
          <w:rFonts w:ascii="Arial Narrow" w:hAnsi="Arial Narrow"/>
          <w:b/>
          <w:sz w:val="28"/>
          <w:szCs w:val="28"/>
          <w:lang w:val="es-ES"/>
        </w:rPr>
        <w:t xml:space="preserve">porcentaje, un 1,37% del total, </w:t>
      </w:r>
      <w:r w:rsidR="006A6D19">
        <w:rPr>
          <w:rFonts w:ascii="Arial Narrow" w:hAnsi="Arial Narrow"/>
          <w:b/>
          <w:sz w:val="28"/>
          <w:szCs w:val="28"/>
          <w:lang w:val="es-ES"/>
        </w:rPr>
        <w:t xml:space="preserve"> </w:t>
      </w:r>
      <w:r w:rsidR="00A45DCF">
        <w:rPr>
          <w:rFonts w:ascii="Arial Narrow" w:hAnsi="Arial Narrow"/>
          <w:b/>
          <w:sz w:val="28"/>
          <w:szCs w:val="28"/>
          <w:lang w:val="es-ES"/>
        </w:rPr>
        <w:t>desciende significativamente durante las campañas específicas de control como la que la DGT desarrolla desde hoy y hasta el próximo domingo</w:t>
      </w:r>
    </w:p>
    <w:p w:rsidR="009949B0" w:rsidRPr="009949B0" w:rsidRDefault="009949B0" w:rsidP="009949B0">
      <w:pPr>
        <w:pStyle w:val="Piedepgina"/>
        <w:tabs>
          <w:tab w:val="clear" w:pos="4252"/>
          <w:tab w:val="clear" w:pos="8504"/>
        </w:tabs>
        <w:ind w:left="2025"/>
        <w:jc w:val="both"/>
        <w:rPr>
          <w:rFonts w:ascii="Arial Narrow" w:hAnsi="Arial Narrow"/>
          <w:b/>
          <w:sz w:val="28"/>
          <w:szCs w:val="28"/>
        </w:rPr>
      </w:pPr>
    </w:p>
    <w:p w:rsidR="00FF38CF" w:rsidRPr="00ED6CBC" w:rsidRDefault="007825AF" w:rsidP="00FF38CF">
      <w:pPr>
        <w:pStyle w:val="Piedepgina"/>
        <w:numPr>
          <w:ilvl w:val="0"/>
          <w:numId w:val="29"/>
        </w:numPr>
        <w:tabs>
          <w:tab w:val="clear" w:pos="4252"/>
          <w:tab w:val="clear" w:pos="8504"/>
        </w:tabs>
        <w:jc w:val="both"/>
        <w:rPr>
          <w:rFonts w:ascii="Arial Narrow" w:hAnsi="Arial Narrow"/>
          <w:sz w:val="28"/>
          <w:szCs w:val="28"/>
        </w:rPr>
      </w:pPr>
      <w:r w:rsidRPr="00ED6CBC">
        <w:rPr>
          <w:rFonts w:ascii="Arial Narrow" w:hAnsi="Arial Narrow"/>
          <w:b/>
          <w:sz w:val="28"/>
          <w:szCs w:val="28"/>
          <w:lang w:val="es-ES"/>
        </w:rPr>
        <w:t xml:space="preserve">La jefa Provincial de Tráfico </w:t>
      </w:r>
      <w:r w:rsidR="00A45DCF" w:rsidRPr="00ED6CBC">
        <w:rPr>
          <w:rFonts w:ascii="Arial Narrow" w:hAnsi="Arial Narrow"/>
          <w:b/>
          <w:sz w:val="28"/>
          <w:szCs w:val="28"/>
          <w:lang w:val="es-ES"/>
        </w:rPr>
        <w:t xml:space="preserve">cree que es un ejemplo evidente de que las campañas de concienciación y prevención son </w:t>
      </w:r>
      <w:r w:rsidR="00ED6CBC">
        <w:rPr>
          <w:rFonts w:ascii="Arial Narrow" w:hAnsi="Arial Narrow"/>
          <w:b/>
          <w:sz w:val="28"/>
          <w:szCs w:val="28"/>
          <w:lang w:val="es-ES"/>
        </w:rPr>
        <w:t>necesarias y e</w:t>
      </w:r>
      <w:r w:rsidR="00A45DCF" w:rsidRPr="00ED6CBC">
        <w:rPr>
          <w:rFonts w:ascii="Arial Narrow" w:hAnsi="Arial Narrow"/>
          <w:b/>
          <w:sz w:val="28"/>
          <w:szCs w:val="28"/>
          <w:lang w:val="es-ES"/>
        </w:rPr>
        <w:t>ficaces</w:t>
      </w:r>
    </w:p>
    <w:p w:rsidR="00ED6CBC" w:rsidRPr="00ED6CBC" w:rsidRDefault="00ED6CBC" w:rsidP="00ED6CBC">
      <w:pPr>
        <w:pStyle w:val="Piedepgina"/>
        <w:tabs>
          <w:tab w:val="clear" w:pos="4252"/>
          <w:tab w:val="clear" w:pos="8504"/>
        </w:tabs>
        <w:jc w:val="both"/>
        <w:rPr>
          <w:rFonts w:ascii="Arial Narrow" w:hAnsi="Arial Narrow"/>
          <w:sz w:val="28"/>
          <w:szCs w:val="28"/>
        </w:rPr>
      </w:pPr>
    </w:p>
    <w:p w:rsidR="00A45DCF" w:rsidRDefault="00D648B7" w:rsidP="00A45DCF">
      <w:pPr>
        <w:pStyle w:val="Piedepgina"/>
        <w:tabs>
          <w:tab w:val="clear" w:pos="4252"/>
          <w:tab w:val="clear" w:pos="8504"/>
        </w:tabs>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A45DCF">
        <w:rPr>
          <w:rFonts w:ascii="Arial Narrow" w:hAnsi="Arial Narrow"/>
          <w:b/>
          <w:sz w:val="28"/>
          <w:szCs w:val="28"/>
          <w:u w:val="single"/>
          <w:lang w:val="es-ES"/>
        </w:rPr>
        <w:t>9</w:t>
      </w:r>
      <w:r w:rsidR="00A71902">
        <w:rPr>
          <w:rFonts w:ascii="Arial Narrow" w:hAnsi="Arial Narrow"/>
          <w:b/>
          <w:sz w:val="28"/>
          <w:szCs w:val="28"/>
          <w:u w:val="single"/>
          <w:lang w:val="es-ES"/>
        </w:rPr>
        <w:t xml:space="preserve"> </w:t>
      </w:r>
      <w:proofErr w:type="spellStart"/>
      <w:r w:rsidR="00A71902">
        <w:rPr>
          <w:rFonts w:ascii="Arial Narrow" w:hAnsi="Arial Narrow"/>
          <w:b/>
          <w:sz w:val="28"/>
          <w:szCs w:val="28"/>
          <w:u w:val="single"/>
          <w:lang w:val="es-ES"/>
        </w:rPr>
        <w:t>d</w:t>
      </w:r>
      <w:r w:rsidR="000E50FE">
        <w:rPr>
          <w:rFonts w:ascii="Arial Narrow" w:hAnsi="Arial Narrow"/>
          <w:b/>
          <w:sz w:val="28"/>
          <w:szCs w:val="28"/>
          <w:u w:val="single"/>
        </w:rPr>
        <w:t>e</w:t>
      </w:r>
      <w:proofErr w:type="spellEnd"/>
      <w:r w:rsidR="000E50FE">
        <w:rPr>
          <w:rFonts w:ascii="Arial Narrow" w:hAnsi="Arial Narrow"/>
          <w:b/>
          <w:sz w:val="28"/>
          <w:szCs w:val="28"/>
          <w:u w:val="single"/>
        </w:rPr>
        <w:t xml:space="preserve"> </w:t>
      </w:r>
      <w:r w:rsidR="00A71902">
        <w:rPr>
          <w:rFonts w:ascii="Arial Narrow" w:hAnsi="Arial Narrow"/>
          <w:b/>
          <w:sz w:val="28"/>
          <w:szCs w:val="28"/>
          <w:u w:val="single"/>
          <w:lang w:val="es-ES"/>
        </w:rPr>
        <w:t>diciembre</w:t>
      </w:r>
      <w:r w:rsidR="005F537B">
        <w:rPr>
          <w:rFonts w:ascii="Arial Narrow" w:hAnsi="Arial Narrow"/>
          <w:b/>
          <w:sz w:val="28"/>
          <w:szCs w:val="28"/>
          <w:u w:val="single"/>
          <w:lang w:val="es-ES"/>
        </w:rPr>
        <w:t xml:space="preserve"> </w:t>
      </w:r>
      <w:r w:rsidR="000E37C3">
        <w:rPr>
          <w:rFonts w:ascii="Arial Narrow" w:hAnsi="Arial Narrow"/>
          <w:b/>
          <w:sz w:val="28"/>
          <w:szCs w:val="28"/>
          <w:u w:val="single"/>
        </w:rPr>
        <w:t>de 201</w:t>
      </w:r>
      <w:r w:rsidR="000E37C3">
        <w:rPr>
          <w:rFonts w:ascii="Arial Narrow" w:hAnsi="Arial Narrow"/>
          <w:b/>
          <w:sz w:val="28"/>
          <w:szCs w:val="28"/>
          <w:u w:val="single"/>
          <w:lang w:val="es-ES"/>
        </w:rPr>
        <w:t>9</w:t>
      </w:r>
      <w:r w:rsidR="006404D8" w:rsidRPr="007C2049">
        <w:rPr>
          <w:rFonts w:ascii="Arial Narrow" w:hAnsi="Arial Narrow"/>
          <w:b/>
          <w:sz w:val="28"/>
          <w:szCs w:val="28"/>
          <w:u w:val="single"/>
        </w:rPr>
        <w:t xml:space="preserve">. </w:t>
      </w:r>
      <w:bookmarkEnd w:id="0"/>
      <w:bookmarkEnd w:id="1"/>
      <w:r w:rsidR="000E50FE">
        <w:rPr>
          <w:rFonts w:ascii="Arial Narrow" w:hAnsi="Arial Narrow"/>
          <w:sz w:val="28"/>
          <w:szCs w:val="28"/>
          <w:lang w:val="es-ES"/>
        </w:rPr>
        <w:t xml:space="preserve"> </w:t>
      </w:r>
      <w:r w:rsidR="00A45DCF">
        <w:rPr>
          <w:rFonts w:ascii="Arial Narrow" w:hAnsi="Arial Narrow"/>
          <w:sz w:val="28"/>
          <w:szCs w:val="28"/>
          <w:lang w:val="es-ES"/>
        </w:rPr>
        <w:t xml:space="preserve">Un total de 2.995 conductores dieron positivo entre las 217.562 pruebas de alcoholemia realizadas en lo que llevamos de año en vías interurbanas, lo que representa un 1,37% del total, cifra que desciende significativamente en las campañas específicas de control de la tasa </w:t>
      </w:r>
      <w:r w:rsidR="00A45DCF" w:rsidRPr="00A45DCF">
        <w:rPr>
          <w:rFonts w:ascii="Arial Narrow" w:hAnsi="Arial Narrow"/>
          <w:sz w:val="28"/>
          <w:szCs w:val="28"/>
        </w:rPr>
        <w:t>de alcohol y presencia de droga en conductores</w:t>
      </w:r>
      <w:r w:rsidR="00A45DCF">
        <w:rPr>
          <w:rFonts w:ascii="Arial Narrow" w:hAnsi="Arial Narrow"/>
          <w:sz w:val="28"/>
          <w:szCs w:val="28"/>
          <w:lang w:val="es-ES"/>
        </w:rPr>
        <w:t xml:space="preserve"> </w:t>
      </w:r>
      <w:r w:rsidR="00ED6CBC">
        <w:rPr>
          <w:rFonts w:ascii="Arial Narrow" w:hAnsi="Arial Narrow"/>
          <w:sz w:val="28"/>
          <w:szCs w:val="28"/>
          <w:lang w:val="es-ES"/>
        </w:rPr>
        <w:t xml:space="preserve">como la </w:t>
      </w:r>
      <w:r w:rsidR="00A45DCF">
        <w:rPr>
          <w:rFonts w:ascii="Arial Narrow" w:hAnsi="Arial Narrow"/>
          <w:sz w:val="28"/>
          <w:szCs w:val="28"/>
          <w:lang w:val="es-ES"/>
        </w:rPr>
        <w:t>que se desarrolla desde hoy y hasta el próximo domingo.</w:t>
      </w:r>
    </w:p>
    <w:p w:rsidR="00A45DCF" w:rsidRDefault="00A45DCF" w:rsidP="00A45DCF">
      <w:pPr>
        <w:pStyle w:val="Piedepgina"/>
        <w:tabs>
          <w:tab w:val="clear" w:pos="4252"/>
          <w:tab w:val="clear" w:pos="8504"/>
        </w:tabs>
        <w:ind w:left="2295"/>
        <w:jc w:val="both"/>
        <w:rPr>
          <w:rFonts w:ascii="Arial Narrow" w:hAnsi="Arial Narrow"/>
          <w:sz w:val="28"/>
          <w:szCs w:val="28"/>
          <w:lang w:val="es-ES"/>
        </w:rPr>
      </w:pPr>
    </w:p>
    <w:p w:rsidR="00A45DCF" w:rsidRDefault="00EE4E84" w:rsidP="00EE4E84">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“El porcentaje baja considerablemente durante las campañas específicas de control, como la última que realizamos el pasado mes de junio, en la que la cifra fue del 0,73%, y por eso creemos que estas </w:t>
      </w:r>
      <w:r w:rsidR="00ED6CBC">
        <w:rPr>
          <w:rFonts w:ascii="Arial Narrow" w:hAnsi="Arial Narrow"/>
          <w:sz w:val="28"/>
          <w:szCs w:val="28"/>
          <w:lang w:val="es-ES"/>
        </w:rPr>
        <w:t xml:space="preserve">iniciativas </w:t>
      </w:r>
      <w:r>
        <w:rPr>
          <w:rFonts w:ascii="Arial Narrow" w:hAnsi="Arial Narrow"/>
          <w:sz w:val="28"/>
          <w:szCs w:val="28"/>
          <w:lang w:val="es-ES"/>
        </w:rPr>
        <w:t xml:space="preserve">conciencian, aunque las cifras de siniestralidad como consecuencia de consumo de alcohol y drogas sigue siendo alta”, ha explicado la jefa provincial de Tráfico, Virginia Jerez, durante la presentación de la campaña, que ha tenido lugar en la carretera RM-513 en </w:t>
      </w:r>
      <w:proofErr w:type="spellStart"/>
      <w:r>
        <w:rPr>
          <w:rFonts w:ascii="Arial Narrow" w:hAnsi="Arial Narrow"/>
          <w:sz w:val="28"/>
          <w:szCs w:val="28"/>
          <w:lang w:val="es-ES"/>
        </w:rPr>
        <w:t>Abarán</w:t>
      </w:r>
      <w:proofErr w:type="spellEnd"/>
      <w:r>
        <w:rPr>
          <w:rFonts w:ascii="Arial Narrow" w:hAnsi="Arial Narrow"/>
          <w:sz w:val="28"/>
          <w:szCs w:val="28"/>
          <w:lang w:val="es-ES"/>
        </w:rPr>
        <w:t xml:space="preserve">. </w:t>
      </w:r>
    </w:p>
    <w:p w:rsidR="00303D4C" w:rsidRDefault="00303D4C" w:rsidP="00EE4E84">
      <w:pPr>
        <w:pStyle w:val="Piedepgina"/>
        <w:tabs>
          <w:tab w:val="clear" w:pos="4252"/>
          <w:tab w:val="clear" w:pos="8504"/>
        </w:tabs>
        <w:ind w:left="2295"/>
        <w:jc w:val="both"/>
        <w:rPr>
          <w:rFonts w:ascii="Arial Narrow" w:hAnsi="Arial Narrow"/>
          <w:sz w:val="28"/>
          <w:szCs w:val="28"/>
          <w:lang w:val="es-ES"/>
        </w:rPr>
      </w:pPr>
    </w:p>
    <w:p w:rsidR="00ED6CBC" w:rsidRDefault="00ED6CBC" w:rsidP="00CE466D">
      <w:pPr>
        <w:pStyle w:val="Piedepgina"/>
        <w:ind w:left="2295"/>
        <w:rPr>
          <w:rFonts w:ascii="Arial Narrow" w:hAnsi="Arial Narrow"/>
          <w:sz w:val="28"/>
          <w:szCs w:val="28"/>
          <w:lang w:val="es-ES"/>
        </w:rPr>
      </w:pPr>
    </w:p>
    <w:p w:rsidR="00ED6CBC" w:rsidRDefault="00ED6CBC" w:rsidP="00CE466D">
      <w:pPr>
        <w:pStyle w:val="Piedepgina"/>
        <w:ind w:left="2295"/>
        <w:rPr>
          <w:rFonts w:ascii="Arial Narrow" w:hAnsi="Arial Narrow"/>
          <w:sz w:val="28"/>
          <w:szCs w:val="28"/>
          <w:lang w:val="es-ES"/>
        </w:rPr>
      </w:pPr>
    </w:p>
    <w:p w:rsidR="00CE466D" w:rsidRDefault="00CE466D" w:rsidP="00ED6CBC">
      <w:pPr>
        <w:pStyle w:val="Piedepgina"/>
        <w:ind w:left="2295"/>
        <w:jc w:val="both"/>
        <w:rPr>
          <w:rFonts w:ascii="Arial Narrow" w:hAnsi="Arial Narrow"/>
          <w:sz w:val="28"/>
          <w:szCs w:val="28"/>
          <w:lang w:val="es-ES"/>
        </w:rPr>
      </w:pPr>
      <w:r>
        <w:rPr>
          <w:rFonts w:ascii="Arial Narrow" w:hAnsi="Arial Narrow"/>
          <w:sz w:val="28"/>
          <w:szCs w:val="28"/>
          <w:lang w:val="es-ES"/>
        </w:rPr>
        <w:lastRenderedPageBreak/>
        <w:t>Entre enero y noviembre de 2019 s</w:t>
      </w:r>
      <w:r w:rsidR="00303D4C" w:rsidRPr="00303D4C">
        <w:rPr>
          <w:rFonts w:ascii="Arial Narrow" w:hAnsi="Arial Narrow"/>
          <w:sz w:val="28"/>
          <w:szCs w:val="28"/>
        </w:rPr>
        <w:t xml:space="preserve">e ha realizado examen toxicológico a </w:t>
      </w:r>
      <w:r w:rsidR="00ED6CBC">
        <w:rPr>
          <w:rFonts w:ascii="Arial Narrow" w:hAnsi="Arial Narrow"/>
          <w:sz w:val="28"/>
          <w:szCs w:val="28"/>
          <w:lang w:val="es-ES"/>
        </w:rPr>
        <w:t xml:space="preserve">veintisiete </w:t>
      </w:r>
      <w:r>
        <w:rPr>
          <w:rFonts w:ascii="Arial Narrow" w:hAnsi="Arial Narrow"/>
          <w:sz w:val="28"/>
          <w:szCs w:val="28"/>
        </w:rPr>
        <w:t>conductores fallecidos</w:t>
      </w:r>
      <w:r>
        <w:rPr>
          <w:rFonts w:ascii="Arial Narrow" w:hAnsi="Arial Narrow"/>
          <w:sz w:val="28"/>
          <w:szCs w:val="28"/>
          <w:lang w:val="es-ES"/>
        </w:rPr>
        <w:t xml:space="preserve">, de los que diecisiete </w:t>
      </w:r>
      <w:r>
        <w:rPr>
          <w:rFonts w:ascii="Arial Narrow" w:hAnsi="Arial Narrow"/>
          <w:sz w:val="28"/>
          <w:szCs w:val="28"/>
        </w:rPr>
        <w:t>de ellos tenía</w:t>
      </w:r>
      <w:r w:rsidR="00AD4BC2">
        <w:rPr>
          <w:rFonts w:ascii="Arial Narrow" w:hAnsi="Arial Narrow"/>
          <w:sz w:val="28"/>
          <w:szCs w:val="28"/>
          <w:lang w:val="es-ES"/>
        </w:rPr>
        <w:t>n</w:t>
      </w:r>
      <w:r>
        <w:rPr>
          <w:rFonts w:ascii="Arial Narrow" w:hAnsi="Arial Narrow"/>
          <w:sz w:val="28"/>
          <w:szCs w:val="28"/>
          <w:lang w:val="es-ES"/>
        </w:rPr>
        <w:t xml:space="preserve"> </w:t>
      </w:r>
      <w:r w:rsidR="00303D4C" w:rsidRPr="00303D4C">
        <w:rPr>
          <w:rFonts w:ascii="Arial Narrow" w:hAnsi="Arial Narrow"/>
          <w:sz w:val="28"/>
          <w:szCs w:val="28"/>
        </w:rPr>
        <w:t xml:space="preserve">presencia de tóxicos: alcohol (12), drogas (3) o alcohol y drogas (2), lo que supone el </w:t>
      </w:r>
      <w:r w:rsidR="00303D4C" w:rsidRPr="00303D4C">
        <w:rPr>
          <w:rFonts w:ascii="Arial Narrow" w:hAnsi="Arial Narrow"/>
          <w:b/>
          <w:sz w:val="28"/>
          <w:szCs w:val="28"/>
        </w:rPr>
        <w:t>63 %</w:t>
      </w:r>
      <w:r w:rsidR="00303D4C" w:rsidRPr="00303D4C">
        <w:rPr>
          <w:rFonts w:ascii="Arial Narrow" w:hAnsi="Arial Narrow"/>
          <w:sz w:val="28"/>
          <w:szCs w:val="28"/>
        </w:rPr>
        <w:t xml:space="preserve"> del total de analizados.</w:t>
      </w:r>
    </w:p>
    <w:p w:rsidR="00CE466D" w:rsidRDefault="00CE466D" w:rsidP="00ED6CBC">
      <w:pPr>
        <w:pStyle w:val="Piedepgina"/>
        <w:ind w:left="2295"/>
        <w:jc w:val="both"/>
        <w:rPr>
          <w:rFonts w:ascii="Arial Narrow" w:hAnsi="Arial Narrow"/>
          <w:sz w:val="28"/>
          <w:szCs w:val="28"/>
          <w:lang w:val="es-ES"/>
        </w:rPr>
      </w:pPr>
    </w:p>
    <w:p w:rsidR="006C516B" w:rsidRDefault="00CE466D" w:rsidP="00AD4BC2">
      <w:pPr>
        <w:pStyle w:val="Piedepgina"/>
        <w:ind w:left="2295"/>
        <w:jc w:val="both"/>
        <w:rPr>
          <w:rFonts w:ascii="Arial Narrow" w:hAnsi="Arial Narrow"/>
          <w:sz w:val="28"/>
          <w:szCs w:val="28"/>
          <w:lang w:val="es-ES"/>
        </w:rPr>
      </w:pPr>
      <w:r>
        <w:rPr>
          <w:rFonts w:ascii="Arial Narrow" w:hAnsi="Arial Narrow"/>
          <w:sz w:val="28"/>
          <w:szCs w:val="28"/>
          <w:lang w:val="es-ES"/>
        </w:rPr>
        <w:t xml:space="preserve">Entre los pasajeros fallecidos, se realizó el examen toxicológico </w:t>
      </w:r>
      <w:r w:rsidR="00303D4C" w:rsidRPr="00303D4C">
        <w:rPr>
          <w:rFonts w:ascii="Arial Narrow" w:hAnsi="Arial Narrow"/>
          <w:sz w:val="28"/>
          <w:szCs w:val="28"/>
        </w:rPr>
        <w:t xml:space="preserve">a los </w:t>
      </w:r>
      <w:r>
        <w:rPr>
          <w:rFonts w:ascii="Arial Narrow" w:hAnsi="Arial Narrow"/>
          <w:sz w:val="28"/>
          <w:szCs w:val="28"/>
          <w:lang w:val="es-ES"/>
        </w:rPr>
        <w:t xml:space="preserve">tres </w:t>
      </w:r>
      <w:r>
        <w:rPr>
          <w:rFonts w:ascii="Arial Narrow" w:hAnsi="Arial Narrow"/>
          <w:sz w:val="28"/>
          <w:szCs w:val="28"/>
        </w:rPr>
        <w:t>fallecidos. De ellos,</w:t>
      </w:r>
      <w:r>
        <w:rPr>
          <w:rFonts w:ascii="Arial Narrow" w:hAnsi="Arial Narrow"/>
          <w:sz w:val="28"/>
          <w:szCs w:val="28"/>
          <w:lang w:val="es-ES"/>
        </w:rPr>
        <w:t xml:space="preserve"> </w:t>
      </w:r>
      <w:r>
        <w:rPr>
          <w:rFonts w:ascii="Arial Narrow" w:hAnsi="Arial Narrow"/>
          <w:sz w:val="28"/>
          <w:szCs w:val="28"/>
        </w:rPr>
        <w:t>uno</w:t>
      </w:r>
      <w:r>
        <w:rPr>
          <w:rFonts w:ascii="Arial Narrow" w:hAnsi="Arial Narrow"/>
          <w:sz w:val="28"/>
          <w:szCs w:val="28"/>
          <w:lang w:val="es-ES"/>
        </w:rPr>
        <w:t xml:space="preserve"> tenía presencia de alcohol, </w:t>
      </w:r>
      <w:r w:rsidR="00303D4C" w:rsidRPr="00303D4C">
        <w:rPr>
          <w:rFonts w:ascii="Arial Narrow" w:hAnsi="Arial Narrow"/>
          <w:sz w:val="28"/>
          <w:szCs w:val="28"/>
        </w:rPr>
        <w:t xml:space="preserve">lo que representa un </w:t>
      </w:r>
      <w:r w:rsidR="00303D4C" w:rsidRPr="00303D4C">
        <w:rPr>
          <w:rFonts w:ascii="Arial Narrow" w:hAnsi="Arial Narrow"/>
          <w:b/>
          <w:sz w:val="28"/>
          <w:szCs w:val="28"/>
        </w:rPr>
        <w:t>33%</w:t>
      </w:r>
      <w:r w:rsidR="00303D4C" w:rsidRPr="00303D4C">
        <w:rPr>
          <w:rFonts w:ascii="Arial Narrow" w:hAnsi="Arial Narrow"/>
          <w:sz w:val="28"/>
          <w:szCs w:val="28"/>
        </w:rPr>
        <w:t xml:space="preserve"> de los pasajeros analizados.</w:t>
      </w:r>
      <w:r w:rsidR="00AD4BC2">
        <w:rPr>
          <w:rFonts w:ascii="Arial Narrow" w:hAnsi="Arial Narrow"/>
          <w:sz w:val="28"/>
          <w:szCs w:val="28"/>
          <w:lang w:val="es-ES"/>
        </w:rPr>
        <w:t xml:space="preserve"> </w:t>
      </w:r>
      <w:r w:rsidRPr="00CE466D">
        <w:rPr>
          <w:rFonts w:ascii="Arial Narrow" w:hAnsi="Arial Narrow"/>
          <w:sz w:val="28"/>
          <w:szCs w:val="28"/>
          <w:lang w:val="es-ES"/>
        </w:rPr>
        <w:t xml:space="preserve">De los siete </w:t>
      </w:r>
      <w:r>
        <w:rPr>
          <w:rFonts w:ascii="Arial Narrow" w:hAnsi="Arial Narrow"/>
          <w:sz w:val="28"/>
          <w:szCs w:val="28"/>
          <w:lang w:val="es-ES"/>
        </w:rPr>
        <w:t xml:space="preserve">peatones fallecidos, se realizó examen a cinco de ellos, y </w:t>
      </w:r>
      <w:r w:rsidR="00303D4C" w:rsidRPr="00303D4C">
        <w:rPr>
          <w:rFonts w:ascii="Arial Narrow" w:hAnsi="Arial Narrow"/>
          <w:sz w:val="28"/>
          <w:szCs w:val="28"/>
        </w:rPr>
        <w:t>uno</w:t>
      </w:r>
      <w:r>
        <w:rPr>
          <w:rFonts w:ascii="Arial Narrow" w:hAnsi="Arial Narrow"/>
          <w:sz w:val="28"/>
          <w:szCs w:val="28"/>
          <w:lang w:val="es-ES"/>
        </w:rPr>
        <w:t xml:space="preserve"> de ellos </w:t>
      </w:r>
      <w:r w:rsidR="00303D4C" w:rsidRPr="00303D4C">
        <w:rPr>
          <w:rFonts w:ascii="Arial Narrow" w:hAnsi="Arial Narrow"/>
          <w:sz w:val="28"/>
          <w:szCs w:val="28"/>
        </w:rPr>
        <w:t xml:space="preserve">tenía presencia de alcohol, </w:t>
      </w:r>
      <w:r w:rsidR="00321D20">
        <w:rPr>
          <w:rFonts w:ascii="Arial Narrow" w:hAnsi="Arial Narrow"/>
          <w:sz w:val="28"/>
          <w:szCs w:val="28"/>
          <w:lang w:val="es-ES"/>
        </w:rPr>
        <w:t>lo que representa el 20%.</w:t>
      </w:r>
    </w:p>
    <w:p w:rsidR="006C516B" w:rsidRDefault="006C516B" w:rsidP="00ED6CBC">
      <w:pPr>
        <w:pStyle w:val="Piedepgina"/>
        <w:ind w:left="2295"/>
        <w:jc w:val="both"/>
        <w:rPr>
          <w:rFonts w:ascii="Arial Narrow" w:hAnsi="Arial Narrow"/>
          <w:sz w:val="28"/>
          <w:szCs w:val="28"/>
          <w:lang w:val="es-ES"/>
        </w:rPr>
      </w:pPr>
    </w:p>
    <w:p w:rsidR="00AA36C1" w:rsidRPr="00AA36C1" w:rsidRDefault="00AA36C1" w:rsidP="006C516B">
      <w:pPr>
        <w:pStyle w:val="Piedepgina"/>
        <w:ind w:left="2295"/>
        <w:jc w:val="both"/>
        <w:rPr>
          <w:rFonts w:ascii="Arial Narrow" w:hAnsi="Arial Narrow"/>
          <w:b/>
          <w:sz w:val="28"/>
          <w:szCs w:val="28"/>
          <w:lang w:val="es-ES"/>
        </w:rPr>
      </w:pPr>
      <w:r w:rsidRPr="00AA36C1">
        <w:rPr>
          <w:rFonts w:ascii="Arial Narrow" w:hAnsi="Arial Narrow"/>
          <w:b/>
          <w:sz w:val="28"/>
          <w:szCs w:val="28"/>
          <w:lang w:val="es-ES"/>
        </w:rPr>
        <w:t>Di</w:t>
      </w:r>
      <w:r w:rsidR="00AD4BC2">
        <w:rPr>
          <w:rFonts w:ascii="Arial Narrow" w:hAnsi="Arial Narrow"/>
          <w:b/>
          <w:sz w:val="28"/>
          <w:szCs w:val="28"/>
          <w:lang w:val="es-ES"/>
        </w:rPr>
        <w:t>s</w:t>
      </w:r>
      <w:r w:rsidRPr="00AA36C1">
        <w:rPr>
          <w:rFonts w:ascii="Arial Narrow" w:hAnsi="Arial Narrow"/>
          <w:b/>
          <w:sz w:val="28"/>
          <w:szCs w:val="28"/>
          <w:lang w:val="es-ES"/>
        </w:rPr>
        <w:t>positivo</w:t>
      </w:r>
    </w:p>
    <w:p w:rsidR="00AA36C1" w:rsidRDefault="00AA36C1" w:rsidP="006C516B">
      <w:pPr>
        <w:pStyle w:val="Piedepgina"/>
        <w:ind w:left="2295"/>
        <w:jc w:val="both"/>
        <w:rPr>
          <w:rFonts w:ascii="Arial Narrow" w:hAnsi="Arial Narrow"/>
          <w:sz w:val="28"/>
          <w:szCs w:val="28"/>
          <w:lang w:val="es-ES"/>
        </w:rPr>
      </w:pPr>
    </w:p>
    <w:p w:rsidR="006C516B" w:rsidRDefault="006C516B" w:rsidP="006C516B">
      <w:pPr>
        <w:pStyle w:val="Piedepgina"/>
        <w:ind w:left="2295"/>
        <w:jc w:val="both"/>
        <w:rPr>
          <w:rFonts w:ascii="Arial Narrow" w:hAnsi="Arial Narrow"/>
          <w:sz w:val="28"/>
          <w:szCs w:val="28"/>
          <w:lang w:val="es-ES"/>
        </w:rPr>
      </w:pPr>
      <w:r>
        <w:rPr>
          <w:rFonts w:ascii="Arial Narrow" w:hAnsi="Arial Narrow"/>
          <w:sz w:val="28"/>
          <w:szCs w:val="28"/>
          <w:lang w:val="es-ES"/>
        </w:rPr>
        <w:t xml:space="preserve">A lo largo de esta semana, </w:t>
      </w:r>
      <w:r w:rsidR="00AD4BC2">
        <w:rPr>
          <w:rFonts w:ascii="Arial Narrow" w:hAnsi="Arial Narrow"/>
          <w:sz w:val="28"/>
          <w:szCs w:val="28"/>
          <w:lang w:val="es-ES"/>
        </w:rPr>
        <w:t xml:space="preserve">doscientos </w:t>
      </w:r>
      <w:r w:rsidRPr="006C516B">
        <w:rPr>
          <w:rFonts w:ascii="Arial Narrow" w:hAnsi="Arial Narrow"/>
          <w:sz w:val="28"/>
          <w:szCs w:val="28"/>
        </w:rPr>
        <w:t>Agentes de la Guardia Civil de Tráfico, pertenecientes al Sector de Tráfico de la Guardia Civil de Murcia</w:t>
      </w:r>
      <w:r>
        <w:rPr>
          <w:rFonts w:ascii="Arial Narrow" w:hAnsi="Arial Narrow"/>
          <w:sz w:val="28"/>
          <w:szCs w:val="28"/>
          <w:lang w:val="es-ES"/>
        </w:rPr>
        <w:t xml:space="preserve">, </w:t>
      </w:r>
      <w:r w:rsidRPr="006C516B">
        <w:rPr>
          <w:rFonts w:ascii="Arial Narrow" w:hAnsi="Arial Narrow"/>
          <w:sz w:val="28"/>
          <w:szCs w:val="28"/>
        </w:rPr>
        <w:t>con</w:t>
      </w:r>
      <w:r w:rsidR="00AD4BC2">
        <w:rPr>
          <w:rFonts w:ascii="Arial Narrow" w:hAnsi="Arial Narrow"/>
          <w:sz w:val="28"/>
          <w:szCs w:val="28"/>
        </w:rPr>
        <w:t>trolarán</w:t>
      </w:r>
      <w:r w:rsidR="00AD4BC2">
        <w:rPr>
          <w:rFonts w:ascii="Arial Narrow" w:hAnsi="Arial Narrow"/>
          <w:sz w:val="28"/>
          <w:szCs w:val="28"/>
          <w:lang w:val="es-ES"/>
        </w:rPr>
        <w:t xml:space="preserve"> </w:t>
      </w:r>
      <w:r>
        <w:rPr>
          <w:rFonts w:ascii="Arial Narrow" w:hAnsi="Arial Narrow"/>
          <w:sz w:val="28"/>
          <w:szCs w:val="28"/>
        </w:rPr>
        <w:t>en vías interurbanas</w:t>
      </w:r>
      <w:r>
        <w:rPr>
          <w:rFonts w:ascii="Arial Narrow" w:hAnsi="Arial Narrow"/>
          <w:sz w:val="28"/>
          <w:szCs w:val="28"/>
          <w:lang w:val="es-ES"/>
        </w:rPr>
        <w:t xml:space="preserve"> </w:t>
      </w:r>
      <w:r w:rsidRPr="006C516B">
        <w:rPr>
          <w:rFonts w:ascii="Arial Narrow" w:hAnsi="Arial Narrow"/>
          <w:sz w:val="28"/>
          <w:szCs w:val="28"/>
        </w:rPr>
        <w:t xml:space="preserve">en torno a unos 10.000 conductores. </w:t>
      </w:r>
      <w:r>
        <w:rPr>
          <w:rFonts w:ascii="Arial Narrow" w:hAnsi="Arial Narrow"/>
          <w:sz w:val="28"/>
          <w:szCs w:val="28"/>
          <w:lang w:val="es-ES"/>
        </w:rPr>
        <w:t xml:space="preserve">Además, </w:t>
      </w:r>
      <w:r w:rsidRPr="006C516B">
        <w:rPr>
          <w:rFonts w:ascii="Arial Narrow" w:hAnsi="Arial Narrow"/>
          <w:sz w:val="28"/>
          <w:szCs w:val="28"/>
        </w:rPr>
        <w:t xml:space="preserve">los cuerpos de Policía Local de los </w:t>
      </w:r>
      <w:r>
        <w:rPr>
          <w:rFonts w:ascii="Arial Narrow" w:hAnsi="Arial Narrow"/>
          <w:sz w:val="28"/>
          <w:szCs w:val="28"/>
          <w:lang w:val="es-ES"/>
        </w:rPr>
        <w:t xml:space="preserve">veintidós </w:t>
      </w:r>
      <w:r>
        <w:rPr>
          <w:rFonts w:ascii="Arial Narrow" w:hAnsi="Arial Narrow"/>
          <w:sz w:val="28"/>
          <w:szCs w:val="28"/>
        </w:rPr>
        <w:t>ayuntamientos adheridos</w:t>
      </w:r>
      <w:r>
        <w:rPr>
          <w:rFonts w:ascii="Arial Narrow" w:hAnsi="Arial Narrow"/>
          <w:sz w:val="28"/>
          <w:szCs w:val="28"/>
          <w:lang w:val="es-ES"/>
        </w:rPr>
        <w:t xml:space="preserve"> a esta campaña </w:t>
      </w:r>
      <w:r w:rsidRPr="006C516B">
        <w:rPr>
          <w:rFonts w:ascii="Arial Narrow" w:hAnsi="Arial Narrow"/>
          <w:sz w:val="28"/>
          <w:szCs w:val="28"/>
        </w:rPr>
        <w:t>efectuarán los controles en las vías urbanas de su competencia.</w:t>
      </w:r>
    </w:p>
    <w:p w:rsidR="00EA5DAF" w:rsidRDefault="00EA5DAF" w:rsidP="000B4DFD">
      <w:pPr>
        <w:pStyle w:val="Piedepgina"/>
        <w:ind w:left="2295"/>
        <w:jc w:val="both"/>
        <w:rPr>
          <w:rFonts w:ascii="Arial Narrow" w:hAnsi="Arial Narrow"/>
          <w:sz w:val="28"/>
          <w:szCs w:val="28"/>
          <w:lang w:val="es-ES"/>
        </w:rPr>
      </w:pPr>
    </w:p>
    <w:p w:rsidR="000B4DFD" w:rsidRPr="000B4DFD" w:rsidRDefault="000B4DFD" w:rsidP="000B4DFD">
      <w:pPr>
        <w:pStyle w:val="Piedepgina"/>
        <w:ind w:left="2295"/>
        <w:jc w:val="both"/>
        <w:rPr>
          <w:rFonts w:ascii="Arial Narrow" w:hAnsi="Arial Narrow"/>
          <w:sz w:val="28"/>
          <w:szCs w:val="28"/>
        </w:rPr>
      </w:pPr>
      <w:r w:rsidRPr="000B4DFD">
        <w:rPr>
          <w:rFonts w:ascii="Arial Narrow" w:hAnsi="Arial Narrow"/>
          <w:sz w:val="28"/>
          <w:szCs w:val="28"/>
        </w:rPr>
        <w:t xml:space="preserve">Según datos del Observatorio Europeo para la Seguridad Vial (ERSO), alrededor del 25% de todas las muertes en carretera en Europa están relacionadas con el alcohol, mientras que, aproximadamente, sólo el 1% del total de kilómetros recorridos son conducidos por personas con 0,5 g / l de alcohol en la sangre o más. </w:t>
      </w:r>
    </w:p>
    <w:p w:rsidR="000B4DFD" w:rsidRDefault="000B4DFD" w:rsidP="000B4DFD">
      <w:pPr>
        <w:pStyle w:val="Piedepgina"/>
        <w:ind w:left="2295"/>
        <w:jc w:val="both"/>
        <w:rPr>
          <w:rFonts w:ascii="Arial Narrow" w:hAnsi="Arial Narrow"/>
          <w:sz w:val="28"/>
          <w:szCs w:val="28"/>
          <w:lang w:val="es-ES"/>
        </w:rPr>
      </w:pPr>
    </w:p>
    <w:p w:rsidR="000B4DFD" w:rsidRDefault="000B4DFD" w:rsidP="000B4DFD">
      <w:pPr>
        <w:pStyle w:val="Piedepgina"/>
        <w:ind w:left="2295"/>
        <w:jc w:val="both"/>
        <w:rPr>
          <w:rFonts w:ascii="Arial Narrow" w:hAnsi="Arial Narrow"/>
          <w:sz w:val="28"/>
          <w:szCs w:val="28"/>
          <w:lang w:val="es-ES"/>
        </w:rPr>
      </w:pPr>
      <w:r w:rsidRPr="000B4DFD">
        <w:rPr>
          <w:rFonts w:ascii="Arial Narrow" w:hAnsi="Arial Narrow"/>
          <w:sz w:val="28"/>
          <w:szCs w:val="28"/>
        </w:rPr>
        <w:t xml:space="preserve">A medida que la concentración de alcohol en la sangre (BAC) aumenta en el conductor, la tasa de incidencia de accidentes también se incrementa. El aumento de la tasa de incidencia de accidentes que se deriva de un aumento de la tasa de alcoholemia es progresivo. </w:t>
      </w:r>
    </w:p>
    <w:p w:rsidR="000B4DFD" w:rsidRDefault="000B4DFD" w:rsidP="000B4DFD">
      <w:pPr>
        <w:pStyle w:val="Piedepgina"/>
        <w:ind w:left="2295"/>
        <w:jc w:val="both"/>
        <w:rPr>
          <w:rFonts w:ascii="Arial Narrow" w:hAnsi="Arial Narrow"/>
          <w:sz w:val="28"/>
          <w:szCs w:val="28"/>
          <w:lang w:val="es-ES"/>
        </w:rPr>
      </w:pPr>
    </w:p>
    <w:p w:rsidR="000B4DFD" w:rsidRPr="000B4DFD" w:rsidRDefault="000B4DFD" w:rsidP="000B4DFD">
      <w:pPr>
        <w:pStyle w:val="Piedepgina"/>
        <w:ind w:left="2295"/>
        <w:jc w:val="both"/>
        <w:rPr>
          <w:rFonts w:ascii="Arial Narrow" w:hAnsi="Arial Narrow"/>
          <w:sz w:val="28"/>
          <w:szCs w:val="28"/>
        </w:rPr>
      </w:pPr>
      <w:r w:rsidRPr="000B4DFD">
        <w:rPr>
          <w:rFonts w:ascii="Arial Narrow" w:hAnsi="Arial Narrow"/>
          <w:sz w:val="28"/>
          <w:szCs w:val="28"/>
        </w:rPr>
        <w:t xml:space="preserve">En comparación con un conductor sobrio, la tasa de incidencia de accidente de un conductor con una tasa de alcoholemia de 0,8 g / l (siendo este el límite legal en 3 de los 25 estados miembros de la UE, en España es 0,3 g /l), es 2,7 veces mayor que la de un conductor sobrio. Cuando un conductor tiene una </w:t>
      </w:r>
      <w:r w:rsidRPr="000B4DFD">
        <w:rPr>
          <w:rFonts w:ascii="Arial Narrow" w:hAnsi="Arial Narrow"/>
          <w:sz w:val="28"/>
          <w:szCs w:val="28"/>
        </w:rPr>
        <w:lastRenderedPageBreak/>
        <w:t xml:space="preserve">tasa de alcoholemia de 1,5 g / l su tasa de incidencia de accidente se estima que es 22 veces mayor que la de un conductor sobrio. </w:t>
      </w:r>
    </w:p>
    <w:p w:rsidR="000B4DFD" w:rsidRDefault="000B4DFD" w:rsidP="000B4DFD">
      <w:pPr>
        <w:pStyle w:val="Piedepgina"/>
        <w:ind w:left="2295"/>
        <w:jc w:val="both"/>
        <w:rPr>
          <w:rFonts w:ascii="Arial Narrow" w:hAnsi="Arial Narrow"/>
          <w:sz w:val="28"/>
          <w:szCs w:val="28"/>
          <w:lang w:val="es-ES"/>
        </w:rPr>
      </w:pPr>
    </w:p>
    <w:p w:rsidR="000B4DFD" w:rsidRDefault="000B4DFD" w:rsidP="000B4DFD">
      <w:pPr>
        <w:pStyle w:val="Piedepgina"/>
        <w:ind w:left="2295"/>
        <w:jc w:val="both"/>
        <w:rPr>
          <w:rFonts w:ascii="Arial Narrow" w:hAnsi="Arial Narrow"/>
          <w:sz w:val="28"/>
          <w:szCs w:val="28"/>
          <w:lang w:val="es-ES"/>
        </w:rPr>
      </w:pPr>
      <w:r w:rsidRPr="000B4DFD">
        <w:rPr>
          <w:rFonts w:ascii="Arial Narrow" w:hAnsi="Arial Narrow"/>
          <w:sz w:val="28"/>
          <w:szCs w:val="28"/>
        </w:rPr>
        <w:t>No sólo la tasa de incidencia de accidentes aumenta rápidamente con el aumento de la tasa de alcoholemia, el accidente también se vuelve más grave. Con una tasa de alcoholemia de 1,5 g / l la tasa de incidencia de accidentes de gravedad mortal es aproximadamente 200 veces mayor que cuando se trata de conductores que no han ingerido alcohol.</w:t>
      </w:r>
    </w:p>
    <w:p w:rsidR="000B4DFD" w:rsidRDefault="000B4DFD" w:rsidP="000B4DFD">
      <w:pPr>
        <w:pStyle w:val="Piedepgina"/>
        <w:ind w:left="2295"/>
        <w:jc w:val="both"/>
        <w:rPr>
          <w:rFonts w:ascii="Arial Narrow" w:hAnsi="Arial Narrow"/>
          <w:sz w:val="28"/>
          <w:szCs w:val="28"/>
          <w:lang w:val="es-ES"/>
        </w:rPr>
      </w:pPr>
    </w:p>
    <w:p w:rsidR="000B4DFD" w:rsidRPr="000B4DFD" w:rsidRDefault="000B4DFD" w:rsidP="000B4DFD">
      <w:pPr>
        <w:suppressAutoHyphens/>
        <w:spacing w:line="1" w:lineRule="atLeast"/>
        <w:ind w:left="2295" w:right="-436"/>
        <w:jc w:val="both"/>
        <w:textDirection w:val="btLr"/>
        <w:textAlignment w:val="top"/>
        <w:outlineLvl w:val="0"/>
        <w:rPr>
          <w:rFonts w:ascii="Arial Narrow" w:hAnsi="Arial Narrow" w:cs="Times New Roman"/>
          <w:b/>
          <w:sz w:val="28"/>
          <w:szCs w:val="28"/>
          <w:lang w:val="x-none" w:eastAsia="x-none"/>
        </w:rPr>
      </w:pPr>
      <w:r w:rsidRPr="000B4DFD">
        <w:rPr>
          <w:rFonts w:ascii="Arial Narrow" w:hAnsi="Arial Narrow" w:cs="Times New Roman"/>
          <w:b/>
          <w:sz w:val="28"/>
          <w:szCs w:val="28"/>
          <w:lang w:eastAsia="x-none"/>
        </w:rPr>
        <w:t>D</w:t>
      </w:r>
      <w:proofErr w:type="spellStart"/>
      <w:r w:rsidRPr="000B4DFD">
        <w:rPr>
          <w:rFonts w:ascii="Arial Narrow" w:hAnsi="Arial Narrow" w:cs="Times New Roman"/>
          <w:b/>
          <w:sz w:val="28"/>
          <w:szCs w:val="28"/>
          <w:lang w:val="x-none" w:eastAsia="x-none"/>
        </w:rPr>
        <w:t>atos</w:t>
      </w:r>
      <w:proofErr w:type="spellEnd"/>
      <w:r w:rsidRPr="000B4DFD">
        <w:rPr>
          <w:rFonts w:ascii="Arial Narrow" w:hAnsi="Arial Narrow" w:cs="Times New Roman"/>
          <w:b/>
          <w:sz w:val="28"/>
          <w:szCs w:val="28"/>
          <w:lang w:val="x-none" w:eastAsia="x-none"/>
        </w:rPr>
        <w:t xml:space="preserve"> de las últimas campañas de alcoholemia realizadas por el sector de tráfico de la guardia civil de </w:t>
      </w:r>
      <w:r w:rsidRPr="000B4DFD">
        <w:rPr>
          <w:rFonts w:ascii="Arial Narrow" w:hAnsi="Arial Narrow" w:cs="Times New Roman"/>
          <w:b/>
          <w:sz w:val="28"/>
          <w:szCs w:val="28"/>
          <w:lang w:eastAsia="x-none"/>
        </w:rPr>
        <w:t>M</w:t>
      </w:r>
      <w:proofErr w:type="spellStart"/>
      <w:r w:rsidRPr="000B4DFD">
        <w:rPr>
          <w:rFonts w:ascii="Arial Narrow" w:hAnsi="Arial Narrow" w:cs="Times New Roman"/>
          <w:b/>
          <w:sz w:val="28"/>
          <w:szCs w:val="28"/>
          <w:lang w:val="x-none" w:eastAsia="x-none"/>
        </w:rPr>
        <w:t>urcia</w:t>
      </w:r>
      <w:proofErr w:type="spellEnd"/>
    </w:p>
    <w:p w:rsidR="000B4DFD" w:rsidRPr="000B4DFD" w:rsidRDefault="000B4DFD" w:rsidP="000B4DFD">
      <w:pPr>
        <w:suppressAutoHyphens/>
        <w:spacing w:line="1" w:lineRule="atLeast"/>
        <w:ind w:leftChars="-1" w:right="-436" w:hangingChars="1" w:hanging="2"/>
        <w:jc w:val="both"/>
        <w:textDirection w:val="btLr"/>
        <w:textAlignment w:val="top"/>
        <w:outlineLvl w:val="0"/>
        <w:rPr>
          <w:position w:val="-1"/>
          <w:szCs w:val="24"/>
        </w:rPr>
      </w:pPr>
    </w:p>
    <w:tbl>
      <w:tblPr>
        <w:tblW w:w="9252" w:type="dxa"/>
        <w:tblInd w:w="1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5"/>
        <w:gridCol w:w="2163"/>
        <w:gridCol w:w="2681"/>
        <w:gridCol w:w="2563"/>
      </w:tblGrid>
      <w:tr w:rsidR="000B4DFD" w:rsidRPr="000B4DFD" w:rsidTr="00ED6CBC">
        <w:trPr>
          <w:trHeight w:val="560"/>
        </w:trPr>
        <w:tc>
          <w:tcPr>
            <w:tcW w:w="1845" w:type="dxa"/>
            <w:shd w:val="clear" w:color="auto" w:fill="99CCFF"/>
            <w:vAlign w:val="center"/>
          </w:tcPr>
          <w:p w:rsidR="000B4DFD" w:rsidRPr="000B4DFD" w:rsidRDefault="000B4DFD" w:rsidP="000B4DFD">
            <w:pPr>
              <w:pBdr>
                <w:top w:val="nil"/>
                <w:left w:val="nil"/>
                <w:bottom w:val="nil"/>
                <w:right w:val="nil"/>
                <w:between w:val="nil"/>
              </w:pBdr>
              <w:tabs>
                <w:tab w:val="center" w:pos="798"/>
                <w:tab w:val="left" w:pos="1335"/>
              </w:tabs>
              <w:suppressAutoHyphens/>
              <w:ind w:leftChars="-1" w:right="-436" w:hangingChars="1" w:hanging="2"/>
              <w:jc w:val="center"/>
              <w:textDirection w:val="btLr"/>
              <w:textAlignment w:val="top"/>
              <w:outlineLvl w:val="0"/>
              <w:rPr>
                <w:rFonts w:ascii="Tahoma" w:eastAsia="Tahoma" w:hAnsi="Tahoma" w:cs="Tahoma"/>
                <w:color w:val="000000"/>
                <w:position w:val="-1"/>
                <w:sz w:val="20"/>
              </w:rPr>
            </w:pPr>
          </w:p>
        </w:tc>
        <w:tc>
          <w:tcPr>
            <w:tcW w:w="2163"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244061"/>
                <w:position w:val="-1"/>
                <w:sz w:val="20"/>
              </w:rPr>
            </w:pPr>
            <w:r w:rsidRPr="000B4DFD">
              <w:rPr>
                <w:rFonts w:ascii="Tahoma" w:eastAsia="Tahoma" w:hAnsi="Tahoma" w:cs="Tahoma"/>
                <w:b/>
                <w:color w:val="244061"/>
                <w:position w:val="-1"/>
                <w:sz w:val="20"/>
              </w:rPr>
              <w:t>CONDUCTORES CONTROLADOS</w:t>
            </w:r>
          </w:p>
        </w:tc>
        <w:tc>
          <w:tcPr>
            <w:tcW w:w="2681"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244061"/>
                <w:position w:val="-1"/>
                <w:sz w:val="20"/>
              </w:rPr>
            </w:pPr>
            <w:r w:rsidRPr="000B4DFD">
              <w:rPr>
                <w:rFonts w:ascii="Tahoma" w:eastAsia="Tahoma" w:hAnsi="Tahoma" w:cs="Tahoma"/>
                <w:b/>
                <w:color w:val="244061"/>
                <w:position w:val="-1"/>
                <w:sz w:val="20"/>
              </w:rPr>
              <w:t>DENUNCIADOS</w:t>
            </w:r>
          </w:p>
        </w:tc>
        <w:tc>
          <w:tcPr>
            <w:tcW w:w="2563"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244061"/>
                <w:position w:val="-1"/>
                <w:sz w:val="20"/>
              </w:rPr>
            </w:pPr>
            <w:r w:rsidRPr="000B4DFD">
              <w:rPr>
                <w:rFonts w:ascii="Tahoma" w:eastAsia="Tahoma" w:hAnsi="Tahoma" w:cs="Tahoma"/>
                <w:b/>
                <w:color w:val="244061"/>
                <w:position w:val="-1"/>
                <w:sz w:val="20"/>
              </w:rPr>
              <w:t>% DENUNCIAS</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 xml:space="preserve">Junio 2015 </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7.858</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77</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0,98 %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Agosto 2015</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4.683</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69</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1,47 %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Diciembre 2015</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5.540</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57</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1,03 %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Junio 2016</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6.103</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54</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0,88 %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Diciembre 2016</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3.793</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31</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0,82 %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Junio 2017</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9.178</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100</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1,08 %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Diciembre 2017</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7.469</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94</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1,25 %</w:t>
            </w:r>
          </w:p>
        </w:tc>
      </w:tr>
      <w:tr w:rsidR="000B4DFD" w:rsidRPr="000B4DFD" w:rsidTr="00ED6CBC">
        <w:trPr>
          <w:trHeight w:val="440"/>
        </w:trPr>
        <w:tc>
          <w:tcPr>
            <w:tcW w:w="1845" w:type="dxa"/>
            <w:shd w:val="clear" w:color="auto" w:fill="99CCFF"/>
            <w:vAlign w:val="center"/>
          </w:tcPr>
          <w:p w:rsidR="000B4DFD" w:rsidRPr="000B4DFD" w:rsidRDefault="000B4DFD" w:rsidP="000B4DFD">
            <w:pPr>
              <w:pBdr>
                <w:top w:val="nil"/>
                <w:left w:val="nil"/>
                <w:bottom w:val="nil"/>
                <w:right w:val="nil"/>
                <w:between w:val="nil"/>
              </w:pBdr>
              <w:suppressAutoHyphens/>
              <w:ind w:leftChars="-1" w:right="-436"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Junio 2018</w:t>
            </w:r>
          </w:p>
        </w:tc>
        <w:tc>
          <w:tcPr>
            <w:tcW w:w="21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6.344</w:t>
            </w:r>
          </w:p>
        </w:tc>
        <w:tc>
          <w:tcPr>
            <w:tcW w:w="2681"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35</w:t>
            </w:r>
          </w:p>
        </w:tc>
        <w:tc>
          <w:tcPr>
            <w:tcW w:w="2563" w:type="dxa"/>
            <w:vAlign w:val="center"/>
          </w:tcPr>
          <w:p w:rsidR="000B4DFD" w:rsidRPr="000B4DFD" w:rsidRDefault="000B4DFD" w:rsidP="000B4DFD">
            <w:pPr>
              <w:pBdr>
                <w:top w:val="nil"/>
                <w:left w:val="nil"/>
                <w:bottom w:val="nil"/>
                <w:right w:val="nil"/>
                <w:between w:val="nil"/>
              </w:pBdr>
              <w:suppressAutoHyphens/>
              <w:ind w:leftChars="-1" w:right="-436"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0,55%</w:t>
            </w:r>
          </w:p>
        </w:tc>
      </w:tr>
      <w:tr w:rsidR="000B4DFD" w:rsidRPr="000B4DFD" w:rsidTr="00ED6CBC">
        <w:trPr>
          <w:trHeight w:val="440"/>
        </w:trPr>
        <w:tc>
          <w:tcPr>
            <w:tcW w:w="1845" w:type="dxa"/>
            <w:shd w:val="clear" w:color="auto" w:fill="99CCFF"/>
            <w:vAlign w:val="center"/>
          </w:tcPr>
          <w:p w:rsidR="000B4DFD" w:rsidRPr="000B4DFD" w:rsidRDefault="000B4DFD" w:rsidP="000B4DFD">
            <w:pPr>
              <w:suppressAutoHyphens/>
              <w:spacing w:line="1" w:lineRule="atLeast"/>
              <w:ind w:leftChars="-1"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Diciembre 2018</w:t>
            </w:r>
          </w:p>
        </w:tc>
        <w:tc>
          <w:tcPr>
            <w:tcW w:w="2163"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10.071</w:t>
            </w:r>
          </w:p>
        </w:tc>
        <w:tc>
          <w:tcPr>
            <w:tcW w:w="2681"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83</w:t>
            </w:r>
          </w:p>
        </w:tc>
        <w:tc>
          <w:tcPr>
            <w:tcW w:w="2563"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0,82%</w:t>
            </w:r>
          </w:p>
        </w:tc>
      </w:tr>
      <w:tr w:rsidR="000B4DFD" w:rsidRPr="000B4DFD" w:rsidTr="00ED6CBC">
        <w:trPr>
          <w:trHeight w:val="440"/>
        </w:trPr>
        <w:tc>
          <w:tcPr>
            <w:tcW w:w="1845" w:type="dxa"/>
            <w:shd w:val="clear" w:color="auto" w:fill="99CCFF"/>
            <w:vAlign w:val="center"/>
          </w:tcPr>
          <w:p w:rsidR="000B4DFD" w:rsidRPr="000B4DFD" w:rsidRDefault="000B4DFD" w:rsidP="000B4DFD">
            <w:pPr>
              <w:suppressAutoHyphens/>
              <w:spacing w:line="1" w:lineRule="atLeast"/>
              <w:ind w:leftChars="-1" w:hangingChars="1" w:hanging="2"/>
              <w:textDirection w:val="btLr"/>
              <w:textAlignment w:val="top"/>
              <w:outlineLvl w:val="0"/>
              <w:rPr>
                <w:rFonts w:ascii="Tahoma" w:eastAsia="Tahoma" w:hAnsi="Tahoma" w:cs="Tahoma"/>
                <w:color w:val="244061"/>
                <w:position w:val="-1"/>
                <w:sz w:val="20"/>
              </w:rPr>
            </w:pPr>
            <w:r w:rsidRPr="000B4DFD">
              <w:rPr>
                <w:rFonts w:ascii="Tahoma" w:eastAsia="Tahoma" w:hAnsi="Tahoma" w:cs="Tahoma"/>
                <w:color w:val="244061"/>
                <w:position w:val="-1"/>
                <w:sz w:val="20"/>
              </w:rPr>
              <w:t>Junio 2019</w:t>
            </w:r>
          </w:p>
        </w:tc>
        <w:tc>
          <w:tcPr>
            <w:tcW w:w="2163"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11.746</w:t>
            </w:r>
          </w:p>
        </w:tc>
        <w:tc>
          <w:tcPr>
            <w:tcW w:w="2681"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86</w:t>
            </w:r>
          </w:p>
        </w:tc>
        <w:tc>
          <w:tcPr>
            <w:tcW w:w="2563" w:type="dxa"/>
            <w:vAlign w:val="center"/>
          </w:tcPr>
          <w:p w:rsidR="000B4DFD" w:rsidRPr="000B4DFD" w:rsidRDefault="000B4DFD" w:rsidP="000B4DFD">
            <w:pPr>
              <w:suppressAutoHyphens/>
              <w:spacing w:line="1" w:lineRule="atLeast"/>
              <w:ind w:leftChars="-1" w:hangingChars="1" w:hanging="2"/>
              <w:jc w:val="center"/>
              <w:textDirection w:val="btLr"/>
              <w:textAlignment w:val="top"/>
              <w:outlineLvl w:val="0"/>
              <w:rPr>
                <w:rFonts w:ascii="Tahoma" w:eastAsia="Tahoma" w:hAnsi="Tahoma" w:cs="Tahoma"/>
                <w:color w:val="000000"/>
                <w:position w:val="-1"/>
                <w:sz w:val="20"/>
              </w:rPr>
            </w:pPr>
            <w:r w:rsidRPr="000B4DFD">
              <w:rPr>
                <w:rFonts w:ascii="Tahoma" w:eastAsia="Tahoma" w:hAnsi="Tahoma" w:cs="Tahoma"/>
                <w:color w:val="000000"/>
                <w:position w:val="-1"/>
                <w:sz w:val="20"/>
              </w:rPr>
              <w:t xml:space="preserve">      0,73%</w:t>
            </w:r>
          </w:p>
        </w:tc>
      </w:tr>
    </w:tbl>
    <w:p w:rsidR="000B4DFD" w:rsidRPr="000B4DFD" w:rsidRDefault="000B4DFD" w:rsidP="000B4DFD">
      <w:pPr>
        <w:tabs>
          <w:tab w:val="left" w:pos="340"/>
          <w:tab w:val="left" w:pos="1060"/>
          <w:tab w:val="left" w:pos="1780"/>
          <w:tab w:val="left" w:pos="2177"/>
          <w:tab w:val="left" w:pos="3220"/>
          <w:tab w:val="left" w:pos="3940"/>
          <w:tab w:val="left" w:pos="4660"/>
          <w:tab w:val="left" w:pos="5380"/>
          <w:tab w:val="left" w:pos="6100"/>
          <w:tab w:val="left" w:pos="6820"/>
          <w:tab w:val="left" w:pos="7540"/>
          <w:tab w:val="left" w:pos="8260"/>
          <w:tab w:val="left" w:pos="8980"/>
          <w:tab w:val="left" w:pos="9700"/>
          <w:tab w:val="left" w:pos="10420"/>
        </w:tabs>
        <w:suppressAutoHyphens/>
        <w:spacing w:line="1" w:lineRule="atLeast"/>
        <w:ind w:leftChars="-1" w:right="-436" w:hangingChars="1" w:hanging="2"/>
        <w:jc w:val="both"/>
        <w:textDirection w:val="btLr"/>
        <w:textAlignment w:val="top"/>
        <w:outlineLvl w:val="0"/>
        <w:rPr>
          <w:rFonts w:ascii="Arial Narrow" w:eastAsia="Arial Narrow" w:hAnsi="Arial Narrow" w:cs="Arial Narrow"/>
          <w:position w:val="-1"/>
          <w:sz w:val="20"/>
        </w:rPr>
      </w:pPr>
    </w:p>
    <w:p w:rsidR="000B4DFD" w:rsidRPr="000B4DFD" w:rsidRDefault="000B4DFD" w:rsidP="000B4DFD">
      <w:pPr>
        <w:pStyle w:val="Piedepgina"/>
        <w:ind w:left="2295"/>
        <w:jc w:val="both"/>
        <w:rPr>
          <w:rFonts w:ascii="Arial Narrow" w:hAnsi="Arial Narrow"/>
          <w:sz w:val="28"/>
          <w:szCs w:val="28"/>
          <w:lang w:val="es-ES"/>
        </w:rPr>
      </w:pPr>
    </w:p>
    <w:p w:rsidR="006C516B" w:rsidRPr="000B4DFD" w:rsidRDefault="006C516B" w:rsidP="000B4DFD">
      <w:pPr>
        <w:pStyle w:val="Piedepgina"/>
        <w:ind w:left="2295"/>
        <w:jc w:val="both"/>
        <w:rPr>
          <w:rFonts w:ascii="Arial Narrow" w:hAnsi="Arial Narrow"/>
          <w:sz w:val="28"/>
          <w:szCs w:val="28"/>
        </w:rPr>
      </w:pPr>
    </w:p>
    <w:p w:rsidR="006C516B" w:rsidRDefault="006C516B" w:rsidP="000B4DFD">
      <w:pPr>
        <w:ind w:right="-436" w:hanging="2"/>
        <w:jc w:val="both"/>
      </w:pPr>
    </w:p>
    <w:p w:rsidR="00EE4E84" w:rsidRPr="006C516B" w:rsidRDefault="00EE4E84" w:rsidP="000B4DFD">
      <w:pPr>
        <w:pStyle w:val="Piedepgina"/>
        <w:tabs>
          <w:tab w:val="clear" w:pos="4252"/>
          <w:tab w:val="clear" w:pos="8504"/>
        </w:tabs>
        <w:ind w:left="2295"/>
        <w:jc w:val="both"/>
        <w:rPr>
          <w:rFonts w:ascii="Times New Roman" w:hAnsi="Times New Roman"/>
          <w:szCs w:val="24"/>
          <w:lang w:val="es-ES"/>
        </w:rPr>
      </w:pPr>
    </w:p>
    <w:p w:rsidR="00A45DCF" w:rsidRPr="00A45DCF" w:rsidRDefault="00A45DCF" w:rsidP="000B4DFD">
      <w:pPr>
        <w:pStyle w:val="Piedepgina"/>
        <w:tabs>
          <w:tab w:val="clear" w:pos="4252"/>
          <w:tab w:val="clear" w:pos="8504"/>
        </w:tabs>
        <w:ind w:left="2295"/>
        <w:jc w:val="both"/>
        <w:rPr>
          <w:lang w:val="es-ES"/>
        </w:rPr>
      </w:pPr>
    </w:p>
    <w:bookmarkEnd w:id="2"/>
    <w:p w:rsidR="007A46B3" w:rsidRDefault="007A46B3" w:rsidP="000B4DFD">
      <w:pPr>
        <w:pStyle w:val="Piedepgina"/>
        <w:tabs>
          <w:tab w:val="clear" w:pos="4252"/>
          <w:tab w:val="clear" w:pos="8504"/>
        </w:tabs>
        <w:ind w:left="2295"/>
        <w:jc w:val="both"/>
        <w:rPr>
          <w:rFonts w:ascii="Arial Narrow" w:hAnsi="Arial Narrow"/>
          <w:sz w:val="28"/>
          <w:szCs w:val="28"/>
          <w:lang w:val="es-ES"/>
        </w:rPr>
      </w:pPr>
    </w:p>
    <w:sectPr w:rsidR="007A46B3" w:rsidSect="00E644B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BC" w:rsidRDefault="00ED6CBC">
      <w:r>
        <w:separator/>
      </w:r>
    </w:p>
  </w:endnote>
  <w:endnote w:type="continuationSeparator" w:id="0">
    <w:p w:rsidR="00ED6CBC" w:rsidRDefault="00ED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C" w:rsidRDefault="00ED6CBC">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ED6CBC" w:rsidRDefault="00ED6C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ED6CBC" w:rsidTr="00794CA0">
      <w:trPr>
        <w:trHeight w:val="791"/>
      </w:trPr>
      <w:tc>
        <w:tcPr>
          <w:tcW w:w="3756" w:type="dxa"/>
          <w:shd w:val="clear" w:color="auto" w:fill="auto"/>
        </w:tcPr>
        <w:p w:rsidR="00ED6CBC" w:rsidRPr="00B4210F" w:rsidRDefault="00ED6CBC" w:rsidP="00794CA0">
          <w:r>
            <w:rPr>
              <w:noProof/>
            </w:rPr>
            <w:drawing>
              <wp:inline distT="0" distB="0" distL="0" distR="0" wp14:anchorId="579214B6" wp14:editId="1A31781D">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76D9BCE2" wp14:editId="1A302DD4">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455ADDEE" wp14:editId="4A00CAFA">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ED6CBC" w:rsidRPr="00082C3A" w:rsidRDefault="00ED6CBC" w:rsidP="00794CA0">
          <w:pPr>
            <w:rPr>
              <w:sz w:val="18"/>
              <w:szCs w:val="18"/>
            </w:rPr>
          </w:pPr>
        </w:p>
        <w:p w:rsidR="00ED6CBC" w:rsidRPr="00082C3A" w:rsidRDefault="00ED6CBC"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ED6CBC" w:rsidRPr="00082C3A" w:rsidRDefault="00ED6CBC" w:rsidP="00794CA0">
          <w:pPr>
            <w:rPr>
              <w:sz w:val="18"/>
              <w:szCs w:val="18"/>
            </w:rPr>
          </w:pPr>
        </w:p>
      </w:tc>
    </w:tr>
  </w:tbl>
  <w:p w:rsidR="00ED6CBC" w:rsidRDefault="00ED6CBC"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ED6CBC" w:rsidTr="00794CA0">
      <w:trPr>
        <w:cantSplit/>
        <w:trHeight w:val="120"/>
      </w:trPr>
      <w:tc>
        <w:tcPr>
          <w:tcW w:w="2693" w:type="dxa"/>
          <w:tcBorders>
            <w:top w:val="nil"/>
            <w:left w:val="nil"/>
            <w:bottom w:val="nil"/>
            <w:right w:val="nil"/>
          </w:tcBorders>
          <w:vAlign w:val="center"/>
        </w:tcPr>
        <w:p w:rsidR="00ED6CBC" w:rsidRDefault="00ED6CBC"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ED6CBC" w:rsidRPr="00B74E5B" w:rsidRDefault="00ED6CBC"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ED6CBC" w:rsidRDefault="00ED6CBC" w:rsidP="00794CA0">
          <w:pPr>
            <w:spacing w:line="180" w:lineRule="atLeast"/>
            <w:rPr>
              <w:rFonts w:ascii="Arial Narrow" w:hAnsi="Arial Narrow"/>
              <w:sz w:val="10"/>
            </w:rPr>
          </w:pPr>
        </w:p>
      </w:tc>
      <w:tc>
        <w:tcPr>
          <w:tcW w:w="6096" w:type="dxa"/>
          <w:tcBorders>
            <w:top w:val="nil"/>
            <w:left w:val="nil"/>
            <w:bottom w:val="nil"/>
            <w:right w:val="nil"/>
          </w:tcBorders>
        </w:tcPr>
        <w:p w:rsidR="00ED6CBC" w:rsidRDefault="00ED6CBC" w:rsidP="00794CA0">
          <w:pPr>
            <w:jc w:val="center"/>
            <w:rPr>
              <w:rFonts w:ascii="Arial Narrow" w:hAnsi="Arial Narrow"/>
              <w:sz w:val="18"/>
            </w:rPr>
          </w:pPr>
        </w:p>
        <w:p w:rsidR="00ED6CBC" w:rsidRDefault="00ED6CBC"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ED6CBC" w:rsidRDefault="00ED6CBC"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ED6CBC" w:rsidRDefault="00ED6CBC" w:rsidP="00794CA0">
          <w:pPr>
            <w:spacing w:before="120"/>
            <w:ind w:left="72"/>
            <w:jc w:val="both"/>
            <w:rPr>
              <w:rFonts w:ascii="Gill Sans MT" w:hAnsi="Gill Sans MT"/>
              <w:sz w:val="10"/>
            </w:rPr>
          </w:pPr>
          <w:r>
            <w:rPr>
              <w:rFonts w:ascii="Gill Sans MT" w:hAnsi="Gill Sans MT"/>
              <w:sz w:val="10"/>
            </w:rPr>
            <w:t>AVENIDA TENIENTE FLOMESTA, S/N</w:t>
          </w:r>
        </w:p>
        <w:p w:rsidR="00ED6CBC" w:rsidRDefault="00ED6CBC" w:rsidP="00794CA0">
          <w:pPr>
            <w:ind w:left="72"/>
            <w:jc w:val="both"/>
            <w:rPr>
              <w:rFonts w:ascii="Gill Sans MT" w:hAnsi="Gill Sans MT"/>
              <w:sz w:val="10"/>
            </w:rPr>
          </w:pPr>
          <w:r>
            <w:rPr>
              <w:rFonts w:ascii="Gill Sans MT" w:hAnsi="Gill Sans MT"/>
              <w:sz w:val="10"/>
            </w:rPr>
            <w:t>30.071 MURCIA</w:t>
          </w:r>
        </w:p>
        <w:p w:rsidR="00ED6CBC" w:rsidRDefault="00ED6CBC" w:rsidP="00794CA0">
          <w:pPr>
            <w:ind w:left="72"/>
            <w:jc w:val="both"/>
            <w:rPr>
              <w:rFonts w:ascii="Gill Sans MT" w:hAnsi="Gill Sans MT"/>
              <w:sz w:val="10"/>
            </w:rPr>
          </w:pPr>
          <w:r>
            <w:rPr>
              <w:rFonts w:ascii="Gill Sans MT" w:hAnsi="Gill Sans MT"/>
              <w:sz w:val="10"/>
            </w:rPr>
            <w:t>TEL: 968 989 108 / 968 989 107</w:t>
          </w:r>
        </w:p>
        <w:p w:rsidR="00ED6CBC" w:rsidRDefault="00ED6CBC" w:rsidP="00794CA0">
          <w:pPr>
            <w:spacing w:after="120"/>
            <w:ind w:left="74"/>
          </w:pPr>
        </w:p>
      </w:tc>
    </w:tr>
    <w:tr w:rsidR="00ED6CBC" w:rsidTr="00794CA0">
      <w:trPr>
        <w:cantSplit/>
        <w:trHeight w:val="120"/>
      </w:trPr>
      <w:tc>
        <w:tcPr>
          <w:tcW w:w="2693" w:type="dxa"/>
          <w:tcBorders>
            <w:top w:val="nil"/>
            <w:left w:val="nil"/>
            <w:bottom w:val="nil"/>
            <w:right w:val="nil"/>
          </w:tcBorders>
        </w:tcPr>
        <w:p w:rsidR="00ED6CBC" w:rsidRDefault="00ED6CBC"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25049E">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25049E">
            <w:rPr>
              <w:noProof/>
              <w:sz w:val="20"/>
            </w:rPr>
            <w:t>3</w:t>
          </w:r>
          <w:r>
            <w:rPr>
              <w:sz w:val="20"/>
            </w:rPr>
            <w:fldChar w:fldCharType="end"/>
          </w:r>
        </w:p>
      </w:tc>
      <w:tc>
        <w:tcPr>
          <w:tcW w:w="6096" w:type="dxa"/>
          <w:tcBorders>
            <w:top w:val="nil"/>
            <w:left w:val="nil"/>
            <w:bottom w:val="nil"/>
            <w:right w:val="nil"/>
          </w:tcBorders>
        </w:tcPr>
        <w:p w:rsidR="00ED6CBC" w:rsidRDefault="00ED6CBC"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ED6CBC" w:rsidRPr="00A20B1E" w:rsidRDefault="00ED6CBC" w:rsidP="00794CA0">
          <w:pPr>
            <w:jc w:val="center"/>
            <w:rPr>
              <w:rFonts w:ascii="Arial Narrow" w:hAnsi="Arial Narrow"/>
              <w:b/>
              <w:bCs/>
              <w:sz w:val="22"/>
            </w:rPr>
          </w:pPr>
        </w:p>
      </w:tc>
      <w:tc>
        <w:tcPr>
          <w:tcW w:w="2409" w:type="dxa"/>
          <w:vMerge/>
          <w:tcBorders>
            <w:bottom w:val="nil"/>
            <w:right w:val="nil"/>
          </w:tcBorders>
        </w:tcPr>
        <w:p w:rsidR="00ED6CBC" w:rsidRDefault="00ED6CBC" w:rsidP="00794CA0"/>
      </w:tc>
    </w:tr>
  </w:tbl>
  <w:p w:rsidR="00ED6CBC" w:rsidRPr="005A20F6" w:rsidRDefault="00ED6CBC"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ED6CBC" w:rsidTr="00E644BE">
      <w:trPr>
        <w:trHeight w:val="791"/>
      </w:trPr>
      <w:tc>
        <w:tcPr>
          <w:tcW w:w="3756" w:type="dxa"/>
          <w:shd w:val="clear" w:color="auto" w:fill="auto"/>
        </w:tcPr>
        <w:p w:rsidR="00ED6CBC" w:rsidRPr="00B4210F" w:rsidRDefault="00ED6CBC" w:rsidP="00794CA0">
          <w:r>
            <w:rPr>
              <w:noProof/>
            </w:rPr>
            <w:drawing>
              <wp:inline distT="0" distB="0" distL="0" distR="0" wp14:anchorId="3A500C7C" wp14:editId="2BFBB89B">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72E5D7B0" wp14:editId="769082C8">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20F618A3" wp14:editId="1C1BE0EF">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ED6CBC" w:rsidRPr="00082C3A" w:rsidRDefault="00ED6CBC" w:rsidP="00794CA0">
          <w:pPr>
            <w:rPr>
              <w:sz w:val="18"/>
              <w:szCs w:val="18"/>
            </w:rPr>
          </w:pPr>
        </w:p>
        <w:p w:rsidR="00ED6CBC" w:rsidRPr="00082C3A" w:rsidRDefault="00ED6CBC"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r w:rsidRPr="00082C3A">
              <w:rPr>
                <w:rStyle w:val="u-linkcomplex-target"/>
                <w:color w:val="0000FF"/>
                <w:sz w:val="22"/>
                <w:szCs w:val="22"/>
                <w:u w:val="single"/>
              </w:rPr>
              <w:t>DelegGobMurcia</w:t>
            </w:r>
          </w:hyperlink>
        </w:p>
        <w:p w:rsidR="00ED6CBC" w:rsidRPr="00082C3A" w:rsidRDefault="00ED6CBC" w:rsidP="00794CA0">
          <w:pPr>
            <w:rPr>
              <w:sz w:val="18"/>
              <w:szCs w:val="18"/>
            </w:rPr>
          </w:pPr>
        </w:p>
      </w:tc>
    </w:tr>
  </w:tbl>
  <w:p w:rsidR="00ED6CBC" w:rsidRDefault="00ED6CBC"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ED6CBC" w:rsidTr="00794CA0">
      <w:trPr>
        <w:cantSplit/>
        <w:trHeight w:val="120"/>
      </w:trPr>
      <w:tc>
        <w:tcPr>
          <w:tcW w:w="2693" w:type="dxa"/>
          <w:tcBorders>
            <w:top w:val="nil"/>
            <w:left w:val="nil"/>
            <w:bottom w:val="nil"/>
            <w:right w:val="nil"/>
          </w:tcBorders>
          <w:vAlign w:val="center"/>
        </w:tcPr>
        <w:p w:rsidR="00ED6CBC" w:rsidRDefault="00ED6CBC"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ED6CBC" w:rsidRPr="00B74E5B" w:rsidRDefault="00ED6CBC"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ED6CBC" w:rsidRDefault="00ED6CBC" w:rsidP="00794CA0">
          <w:pPr>
            <w:spacing w:line="180" w:lineRule="atLeast"/>
            <w:rPr>
              <w:rFonts w:ascii="Arial Narrow" w:hAnsi="Arial Narrow"/>
              <w:sz w:val="10"/>
            </w:rPr>
          </w:pPr>
        </w:p>
      </w:tc>
      <w:tc>
        <w:tcPr>
          <w:tcW w:w="6096" w:type="dxa"/>
          <w:tcBorders>
            <w:top w:val="nil"/>
            <w:left w:val="nil"/>
            <w:bottom w:val="nil"/>
            <w:right w:val="nil"/>
          </w:tcBorders>
        </w:tcPr>
        <w:p w:rsidR="00ED6CBC" w:rsidRDefault="00ED6CBC" w:rsidP="00794CA0">
          <w:pPr>
            <w:jc w:val="center"/>
            <w:rPr>
              <w:rFonts w:ascii="Arial Narrow" w:hAnsi="Arial Narrow"/>
              <w:sz w:val="18"/>
            </w:rPr>
          </w:pPr>
        </w:p>
        <w:p w:rsidR="00ED6CBC" w:rsidRDefault="00ED6CBC"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ED6CBC" w:rsidRDefault="00ED6CBC"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ED6CBC" w:rsidRDefault="00ED6CBC" w:rsidP="00794CA0">
          <w:pPr>
            <w:spacing w:before="120"/>
            <w:ind w:left="72"/>
            <w:jc w:val="both"/>
            <w:rPr>
              <w:rFonts w:ascii="Gill Sans MT" w:hAnsi="Gill Sans MT"/>
              <w:sz w:val="10"/>
            </w:rPr>
          </w:pPr>
          <w:r>
            <w:rPr>
              <w:rFonts w:ascii="Gill Sans MT" w:hAnsi="Gill Sans MT"/>
              <w:sz w:val="10"/>
            </w:rPr>
            <w:t>AVENIDA TENIENTE FLOMESTA, S/N</w:t>
          </w:r>
        </w:p>
        <w:p w:rsidR="00ED6CBC" w:rsidRDefault="00ED6CBC" w:rsidP="00794CA0">
          <w:pPr>
            <w:ind w:left="72"/>
            <w:jc w:val="both"/>
            <w:rPr>
              <w:rFonts w:ascii="Gill Sans MT" w:hAnsi="Gill Sans MT"/>
              <w:sz w:val="10"/>
            </w:rPr>
          </w:pPr>
          <w:r>
            <w:rPr>
              <w:rFonts w:ascii="Gill Sans MT" w:hAnsi="Gill Sans MT"/>
              <w:sz w:val="10"/>
            </w:rPr>
            <w:t>30.071 MURCIA</w:t>
          </w:r>
        </w:p>
        <w:p w:rsidR="00ED6CBC" w:rsidRDefault="00ED6CBC" w:rsidP="00794CA0">
          <w:pPr>
            <w:ind w:left="72"/>
            <w:jc w:val="both"/>
            <w:rPr>
              <w:rFonts w:ascii="Gill Sans MT" w:hAnsi="Gill Sans MT"/>
              <w:sz w:val="10"/>
            </w:rPr>
          </w:pPr>
          <w:r>
            <w:rPr>
              <w:rFonts w:ascii="Gill Sans MT" w:hAnsi="Gill Sans MT"/>
              <w:sz w:val="10"/>
            </w:rPr>
            <w:t>TEL: 968 989 108 / 968 989 107</w:t>
          </w:r>
        </w:p>
        <w:p w:rsidR="00ED6CBC" w:rsidRDefault="00ED6CBC" w:rsidP="00794CA0">
          <w:pPr>
            <w:spacing w:after="120"/>
            <w:ind w:left="74"/>
          </w:pPr>
        </w:p>
      </w:tc>
    </w:tr>
    <w:tr w:rsidR="00ED6CBC" w:rsidTr="00794CA0">
      <w:trPr>
        <w:cantSplit/>
        <w:trHeight w:val="120"/>
      </w:trPr>
      <w:tc>
        <w:tcPr>
          <w:tcW w:w="2693" w:type="dxa"/>
          <w:tcBorders>
            <w:top w:val="nil"/>
            <w:left w:val="nil"/>
            <w:bottom w:val="nil"/>
            <w:right w:val="nil"/>
          </w:tcBorders>
        </w:tcPr>
        <w:p w:rsidR="00ED6CBC" w:rsidRDefault="00ED6CBC"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25049E">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25049E">
            <w:rPr>
              <w:noProof/>
              <w:sz w:val="20"/>
            </w:rPr>
            <w:t>3</w:t>
          </w:r>
          <w:r>
            <w:rPr>
              <w:sz w:val="20"/>
            </w:rPr>
            <w:fldChar w:fldCharType="end"/>
          </w:r>
        </w:p>
      </w:tc>
      <w:tc>
        <w:tcPr>
          <w:tcW w:w="6096" w:type="dxa"/>
          <w:tcBorders>
            <w:top w:val="nil"/>
            <w:left w:val="nil"/>
            <w:bottom w:val="nil"/>
            <w:right w:val="nil"/>
          </w:tcBorders>
        </w:tcPr>
        <w:p w:rsidR="00ED6CBC" w:rsidRDefault="00ED6CBC"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ED6CBC" w:rsidRPr="00A20B1E" w:rsidRDefault="00ED6CBC" w:rsidP="00794CA0">
          <w:pPr>
            <w:jc w:val="center"/>
            <w:rPr>
              <w:rFonts w:ascii="Arial Narrow" w:hAnsi="Arial Narrow"/>
              <w:b/>
              <w:bCs/>
              <w:sz w:val="22"/>
            </w:rPr>
          </w:pPr>
        </w:p>
      </w:tc>
      <w:tc>
        <w:tcPr>
          <w:tcW w:w="2409" w:type="dxa"/>
          <w:vMerge/>
          <w:tcBorders>
            <w:bottom w:val="nil"/>
            <w:right w:val="nil"/>
          </w:tcBorders>
        </w:tcPr>
        <w:p w:rsidR="00ED6CBC" w:rsidRDefault="00ED6CBC" w:rsidP="00794CA0"/>
      </w:tc>
    </w:tr>
  </w:tbl>
  <w:p w:rsidR="00ED6CBC" w:rsidRPr="005A20F6" w:rsidRDefault="00ED6CBC"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BC" w:rsidRDefault="00ED6CBC">
      <w:r>
        <w:separator/>
      </w:r>
    </w:p>
  </w:footnote>
  <w:footnote w:type="continuationSeparator" w:id="0">
    <w:p w:rsidR="00ED6CBC" w:rsidRDefault="00ED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C" w:rsidRDefault="00ED6C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C" w:rsidRDefault="00ED6CBC">
    <w:pPr>
      <w:pStyle w:val="Encabezado"/>
    </w:pPr>
  </w:p>
  <w:p w:rsidR="00ED6CBC" w:rsidRDefault="00ED6CBC">
    <w:pPr>
      <w:pStyle w:val="Encabezado"/>
    </w:pPr>
  </w:p>
  <w:p w:rsidR="00ED6CBC" w:rsidRDefault="00ED6CBC">
    <w:pPr>
      <w:pStyle w:val="Encabezado"/>
    </w:pPr>
  </w:p>
  <w:p w:rsidR="00ED6CBC" w:rsidRDefault="00ED6CBC">
    <w:pPr>
      <w:pStyle w:val="Encabezado"/>
    </w:pPr>
  </w:p>
  <w:p w:rsidR="00ED6CBC" w:rsidRDefault="00ED6CBC">
    <w:pPr>
      <w:pStyle w:val="Encabezado"/>
    </w:pPr>
  </w:p>
  <w:p w:rsidR="00ED6CBC" w:rsidRDefault="00ED6C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C" w:rsidRDefault="00ED6CBC" w:rsidP="000E50FE">
    <w:pPr>
      <w:rPr>
        <w:rFonts w:ascii="Gill Sans MT" w:hAnsi="Gill Sans MT"/>
        <w:sz w:val="16"/>
      </w:rPr>
    </w:pPr>
  </w:p>
  <w:p w:rsidR="00ED6CBC" w:rsidRDefault="00ED6CBC" w:rsidP="000E50FE">
    <w:pPr>
      <w:rPr>
        <w:rFonts w:ascii="Gill Sans MT" w:hAnsi="Gill Sans MT"/>
        <w:sz w:val="16"/>
      </w:rPr>
    </w:pPr>
  </w:p>
  <w:p w:rsidR="00ED6CBC" w:rsidRDefault="00ED6CBC" w:rsidP="000E50FE">
    <w:pPr>
      <w:rPr>
        <w:rFonts w:ascii="Gill Sans MT" w:hAnsi="Gill Sans MT"/>
        <w:sz w:val="16"/>
      </w:rPr>
    </w:pPr>
  </w:p>
  <w:tbl>
    <w:tblPr>
      <w:tblStyle w:val="Tablabsica2"/>
      <w:tblW w:w="14885" w:type="dxa"/>
      <w:tblLayout w:type="fixed"/>
      <w:tblLook w:val="0000" w:firstRow="0" w:lastRow="0" w:firstColumn="0" w:lastColumn="0" w:noHBand="0" w:noVBand="0"/>
    </w:tblPr>
    <w:tblGrid>
      <w:gridCol w:w="1489"/>
      <w:gridCol w:w="7797"/>
      <w:gridCol w:w="4606"/>
      <w:gridCol w:w="993"/>
    </w:tblGrid>
    <w:tr w:rsidR="00ED6CBC" w:rsidTr="00E644BE">
      <w:trPr>
        <w:gridAfter w:val="1"/>
        <w:wAfter w:w="993" w:type="dxa"/>
        <w:trHeight w:val="543"/>
      </w:trPr>
      <w:tc>
        <w:tcPr>
          <w:tcW w:w="1489" w:type="dxa"/>
          <w:vMerge w:val="restart"/>
        </w:tcPr>
        <w:bookmarkStart w:id="3" w:name="_MON_1637060508"/>
        <w:bookmarkEnd w:id="3"/>
        <w:p w:rsidR="00ED6CBC" w:rsidRDefault="00ED6CBC"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37402187" r:id="rId2"/>
            </w:object>
          </w:r>
        </w:p>
      </w:tc>
      <w:tc>
        <w:tcPr>
          <w:tcW w:w="7797" w:type="dxa"/>
          <w:vMerge w:val="restart"/>
        </w:tcPr>
        <w:p w:rsidR="00ED6CBC" w:rsidRDefault="00ED6CBC" w:rsidP="000E50FE">
          <w:pPr>
            <w:rPr>
              <w:rFonts w:ascii="Gill Sans MT" w:hAnsi="Gill Sans MT"/>
              <w:sz w:val="22"/>
            </w:rPr>
          </w:pPr>
        </w:p>
        <w:p w:rsidR="00ED6CBC" w:rsidRDefault="00ED6CBC" w:rsidP="000E50FE">
          <w:pPr>
            <w:rPr>
              <w:rFonts w:ascii="Gill Sans MT" w:hAnsi="Gill Sans MT"/>
              <w:sz w:val="22"/>
            </w:rPr>
          </w:pPr>
          <w:r>
            <w:rPr>
              <w:rFonts w:ascii="Gill Sans MT" w:hAnsi="Gill Sans MT"/>
              <w:sz w:val="22"/>
            </w:rPr>
            <w:t>DELEGACIÓN DEL GOBIERNO</w:t>
          </w:r>
        </w:p>
        <w:p w:rsidR="00ED6CBC" w:rsidRDefault="00ED6CBC" w:rsidP="000E50FE">
          <w:r>
            <w:rPr>
              <w:rFonts w:ascii="Gill Sans MT" w:hAnsi="Gill Sans MT"/>
              <w:sz w:val="22"/>
            </w:rPr>
            <w:t xml:space="preserve">EN LA REGIÓN DE MURCIA   </w:t>
          </w:r>
        </w:p>
      </w:tc>
      <w:tc>
        <w:tcPr>
          <w:tcW w:w="4606" w:type="dxa"/>
          <w:shd w:val="clear" w:color="auto" w:fill="BFBFBF" w:themeFill="background1" w:themeFillShade="BF"/>
        </w:tcPr>
        <w:p w:rsidR="00ED6CBC" w:rsidRPr="000E50FE" w:rsidRDefault="00ED6CBC"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ED6CBC" w:rsidTr="00E644BE">
      <w:trPr>
        <w:trHeight w:val="40"/>
      </w:trPr>
      <w:tc>
        <w:tcPr>
          <w:tcW w:w="1489" w:type="dxa"/>
          <w:vMerge/>
        </w:tcPr>
        <w:p w:rsidR="00ED6CBC" w:rsidRDefault="00ED6CBC" w:rsidP="000E50FE">
          <w:pPr>
            <w:pStyle w:val="Encabezado"/>
            <w:tabs>
              <w:tab w:val="clear" w:pos="4252"/>
              <w:tab w:val="left" w:pos="2127"/>
              <w:tab w:val="left" w:pos="6521"/>
            </w:tabs>
          </w:pPr>
        </w:p>
      </w:tc>
      <w:tc>
        <w:tcPr>
          <w:tcW w:w="7797" w:type="dxa"/>
          <w:vMerge/>
        </w:tcPr>
        <w:p w:rsidR="00ED6CBC" w:rsidRDefault="00ED6CBC" w:rsidP="000E50FE">
          <w:pPr>
            <w:pStyle w:val="Encabezado"/>
            <w:tabs>
              <w:tab w:val="clear" w:pos="4252"/>
              <w:tab w:val="left" w:pos="2127"/>
              <w:tab w:val="left" w:pos="6521"/>
            </w:tabs>
          </w:pPr>
        </w:p>
      </w:tc>
      <w:tc>
        <w:tcPr>
          <w:tcW w:w="5599" w:type="dxa"/>
          <w:gridSpan w:val="2"/>
        </w:tcPr>
        <w:p w:rsidR="00ED6CBC" w:rsidRDefault="00ED6CBC" w:rsidP="000E50FE">
          <w:pPr>
            <w:pStyle w:val="Encabezado"/>
            <w:tabs>
              <w:tab w:val="clear" w:pos="4252"/>
              <w:tab w:val="left" w:pos="6521"/>
            </w:tabs>
            <w:spacing w:after="240"/>
            <w:ind w:right="1418"/>
            <w:rPr>
              <w:kern w:val="16"/>
            </w:rPr>
          </w:pPr>
        </w:p>
      </w:tc>
    </w:tr>
  </w:tbl>
  <w:p w:rsidR="00ED6CBC" w:rsidRDefault="00ED6CBC" w:rsidP="000E50FE">
    <w:pPr>
      <w:pStyle w:val="Encabezado"/>
      <w:tabs>
        <w:tab w:val="clear" w:pos="4252"/>
        <w:tab w:val="left" w:pos="2127"/>
        <w:tab w:val="left" w:pos="6521"/>
      </w:tabs>
      <w:ind w:firstLine="227"/>
      <w:rPr>
        <w:rFonts w:ascii="Gill Sans MT" w:hAnsi="Gill Sans MT"/>
        <w:sz w:val="16"/>
      </w:rPr>
    </w:pPr>
  </w:p>
  <w:p w:rsidR="00ED6CBC" w:rsidRDefault="00ED6CBC" w:rsidP="000E50FE">
    <w:pPr>
      <w:pStyle w:val="Encabezado"/>
      <w:tabs>
        <w:tab w:val="clear" w:pos="4252"/>
        <w:tab w:val="left" w:pos="2127"/>
        <w:tab w:val="left" w:pos="6521"/>
      </w:tabs>
      <w:ind w:firstLine="227"/>
      <w:rPr>
        <w:rFonts w:ascii="Gill Sans MT" w:hAnsi="Gill Sans MT"/>
        <w:sz w:val="16"/>
      </w:rPr>
    </w:pPr>
  </w:p>
  <w:p w:rsidR="00ED6CBC" w:rsidRDefault="00ED6CBC">
    <w:pPr>
      <w:pStyle w:val="Encabezado"/>
      <w:tabs>
        <w:tab w:val="clear" w:pos="4252"/>
        <w:tab w:val="left" w:pos="2127"/>
        <w:tab w:val="left" w:pos="6521"/>
      </w:tabs>
      <w:ind w:firstLine="227"/>
      <w:rPr>
        <w:rFonts w:ascii="Gill Sans MT" w:hAnsi="Gill Sans MT"/>
        <w:sz w:val="16"/>
      </w:rPr>
    </w:pPr>
  </w:p>
  <w:p w:rsidR="00ED6CBC" w:rsidRDefault="00ED6CBC" w:rsidP="00E644BE">
    <w:pPr>
      <w:pStyle w:val="Encabezado"/>
      <w:tabs>
        <w:tab w:val="clear" w:pos="4252"/>
        <w:tab w:val="clear" w:pos="8504"/>
        <w:tab w:val="left" w:pos="7225"/>
      </w:tabs>
      <w:ind w:firstLine="227"/>
      <w:rPr>
        <w:rFonts w:ascii="Gill Sans MT" w:hAnsi="Gill Sans MT"/>
        <w:sz w:val="16"/>
      </w:rPr>
    </w:pPr>
    <w:r>
      <w:rPr>
        <w:rFonts w:ascii="Gill Sans MT" w:hAnsi="Gill Sans MT"/>
        <w:sz w:val="16"/>
      </w:rPr>
      <w:tab/>
    </w:r>
  </w:p>
  <w:p w:rsidR="00ED6CBC" w:rsidRDefault="00ED6CBC">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656539E3" wp14:editId="776AA07D">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ED6CBC" w:rsidRDefault="00ED6CBC">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90B9D"/>
    <w:multiLevelType w:val="hybridMultilevel"/>
    <w:tmpl w:val="77E02BFE"/>
    <w:lvl w:ilvl="0" w:tplc="0C0A000D">
      <w:start w:val="1"/>
      <w:numFmt w:val="bullet"/>
      <w:lvlText w:val=""/>
      <w:lvlJc w:val="left"/>
      <w:pPr>
        <w:ind w:left="2655" w:hanging="360"/>
      </w:pPr>
      <w:rPr>
        <w:rFonts w:ascii="Wingdings" w:hAnsi="Wingdings" w:hint="default"/>
      </w:rPr>
    </w:lvl>
    <w:lvl w:ilvl="1" w:tplc="040A0003" w:tentative="1">
      <w:start w:val="1"/>
      <w:numFmt w:val="bullet"/>
      <w:lvlText w:val="o"/>
      <w:lvlJc w:val="left"/>
      <w:pPr>
        <w:ind w:left="3375" w:hanging="360"/>
      </w:pPr>
      <w:rPr>
        <w:rFonts w:ascii="Courier New" w:hAnsi="Courier New" w:cs="Courier New" w:hint="default"/>
      </w:rPr>
    </w:lvl>
    <w:lvl w:ilvl="2" w:tplc="040A0005" w:tentative="1">
      <w:start w:val="1"/>
      <w:numFmt w:val="bullet"/>
      <w:lvlText w:val=""/>
      <w:lvlJc w:val="left"/>
      <w:pPr>
        <w:ind w:left="4095" w:hanging="360"/>
      </w:pPr>
      <w:rPr>
        <w:rFonts w:ascii="Wingdings" w:hAnsi="Wingdings" w:hint="default"/>
      </w:rPr>
    </w:lvl>
    <w:lvl w:ilvl="3" w:tplc="040A0001" w:tentative="1">
      <w:start w:val="1"/>
      <w:numFmt w:val="bullet"/>
      <w:lvlText w:val=""/>
      <w:lvlJc w:val="left"/>
      <w:pPr>
        <w:ind w:left="4815" w:hanging="360"/>
      </w:pPr>
      <w:rPr>
        <w:rFonts w:ascii="Symbol" w:hAnsi="Symbol" w:hint="default"/>
      </w:rPr>
    </w:lvl>
    <w:lvl w:ilvl="4" w:tplc="040A0003" w:tentative="1">
      <w:start w:val="1"/>
      <w:numFmt w:val="bullet"/>
      <w:lvlText w:val="o"/>
      <w:lvlJc w:val="left"/>
      <w:pPr>
        <w:ind w:left="5535" w:hanging="360"/>
      </w:pPr>
      <w:rPr>
        <w:rFonts w:ascii="Courier New" w:hAnsi="Courier New" w:cs="Courier New" w:hint="default"/>
      </w:rPr>
    </w:lvl>
    <w:lvl w:ilvl="5" w:tplc="040A0005" w:tentative="1">
      <w:start w:val="1"/>
      <w:numFmt w:val="bullet"/>
      <w:lvlText w:val=""/>
      <w:lvlJc w:val="left"/>
      <w:pPr>
        <w:ind w:left="6255" w:hanging="360"/>
      </w:pPr>
      <w:rPr>
        <w:rFonts w:ascii="Wingdings" w:hAnsi="Wingdings" w:hint="default"/>
      </w:rPr>
    </w:lvl>
    <w:lvl w:ilvl="6" w:tplc="040A0001" w:tentative="1">
      <w:start w:val="1"/>
      <w:numFmt w:val="bullet"/>
      <w:lvlText w:val=""/>
      <w:lvlJc w:val="left"/>
      <w:pPr>
        <w:ind w:left="6975" w:hanging="360"/>
      </w:pPr>
      <w:rPr>
        <w:rFonts w:ascii="Symbol" w:hAnsi="Symbol" w:hint="default"/>
      </w:rPr>
    </w:lvl>
    <w:lvl w:ilvl="7" w:tplc="040A0003" w:tentative="1">
      <w:start w:val="1"/>
      <w:numFmt w:val="bullet"/>
      <w:lvlText w:val="o"/>
      <w:lvlJc w:val="left"/>
      <w:pPr>
        <w:ind w:left="7695" w:hanging="360"/>
      </w:pPr>
      <w:rPr>
        <w:rFonts w:ascii="Courier New" w:hAnsi="Courier New" w:cs="Courier New" w:hint="default"/>
      </w:rPr>
    </w:lvl>
    <w:lvl w:ilvl="8" w:tplc="040A0005" w:tentative="1">
      <w:start w:val="1"/>
      <w:numFmt w:val="bullet"/>
      <w:lvlText w:val=""/>
      <w:lvlJc w:val="left"/>
      <w:pPr>
        <w:ind w:left="8415" w:hanging="360"/>
      </w:pPr>
      <w:rPr>
        <w:rFonts w:ascii="Wingdings" w:hAnsi="Wingdings" w:hint="default"/>
      </w:rPr>
    </w:lvl>
  </w:abstractNum>
  <w:abstractNum w:abstractNumId="11">
    <w:nsid w:val="175D000C"/>
    <w:multiLevelType w:val="hybridMultilevel"/>
    <w:tmpl w:val="DD14DD60"/>
    <w:lvl w:ilvl="0" w:tplc="0C0A000D">
      <w:start w:val="1"/>
      <w:numFmt w:val="bullet"/>
      <w:lvlText w:val=""/>
      <w:lvlJc w:val="left"/>
      <w:pPr>
        <w:ind w:left="2910" w:hanging="360"/>
      </w:pPr>
      <w:rPr>
        <w:rFonts w:ascii="Wingdings" w:hAnsi="Wingdings" w:hint="default"/>
      </w:rPr>
    </w:lvl>
    <w:lvl w:ilvl="1" w:tplc="040A0003" w:tentative="1">
      <w:start w:val="1"/>
      <w:numFmt w:val="bullet"/>
      <w:lvlText w:val="o"/>
      <w:lvlJc w:val="left"/>
      <w:pPr>
        <w:ind w:left="3630" w:hanging="360"/>
      </w:pPr>
      <w:rPr>
        <w:rFonts w:ascii="Courier New" w:hAnsi="Courier New" w:cs="Courier New" w:hint="default"/>
      </w:rPr>
    </w:lvl>
    <w:lvl w:ilvl="2" w:tplc="040A0005" w:tentative="1">
      <w:start w:val="1"/>
      <w:numFmt w:val="bullet"/>
      <w:lvlText w:val=""/>
      <w:lvlJc w:val="left"/>
      <w:pPr>
        <w:ind w:left="4350" w:hanging="360"/>
      </w:pPr>
      <w:rPr>
        <w:rFonts w:ascii="Wingdings" w:hAnsi="Wingdings" w:hint="default"/>
      </w:rPr>
    </w:lvl>
    <w:lvl w:ilvl="3" w:tplc="040A0001" w:tentative="1">
      <w:start w:val="1"/>
      <w:numFmt w:val="bullet"/>
      <w:lvlText w:val=""/>
      <w:lvlJc w:val="left"/>
      <w:pPr>
        <w:ind w:left="5070" w:hanging="360"/>
      </w:pPr>
      <w:rPr>
        <w:rFonts w:ascii="Symbol" w:hAnsi="Symbol" w:hint="default"/>
      </w:rPr>
    </w:lvl>
    <w:lvl w:ilvl="4" w:tplc="040A0003" w:tentative="1">
      <w:start w:val="1"/>
      <w:numFmt w:val="bullet"/>
      <w:lvlText w:val="o"/>
      <w:lvlJc w:val="left"/>
      <w:pPr>
        <w:ind w:left="5790" w:hanging="360"/>
      </w:pPr>
      <w:rPr>
        <w:rFonts w:ascii="Courier New" w:hAnsi="Courier New" w:cs="Courier New" w:hint="default"/>
      </w:rPr>
    </w:lvl>
    <w:lvl w:ilvl="5" w:tplc="040A0005" w:tentative="1">
      <w:start w:val="1"/>
      <w:numFmt w:val="bullet"/>
      <w:lvlText w:val=""/>
      <w:lvlJc w:val="left"/>
      <w:pPr>
        <w:ind w:left="6510" w:hanging="360"/>
      </w:pPr>
      <w:rPr>
        <w:rFonts w:ascii="Wingdings" w:hAnsi="Wingdings" w:hint="default"/>
      </w:rPr>
    </w:lvl>
    <w:lvl w:ilvl="6" w:tplc="040A0001" w:tentative="1">
      <w:start w:val="1"/>
      <w:numFmt w:val="bullet"/>
      <w:lvlText w:val=""/>
      <w:lvlJc w:val="left"/>
      <w:pPr>
        <w:ind w:left="7230" w:hanging="360"/>
      </w:pPr>
      <w:rPr>
        <w:rFonts w:ascii="Symbol" w:hAnsi="Symbol" w:hint="default"/>
      </w:rPr>
    </w:lvl>
    <w:lvl w:ilvl="7" w:tplc="040A0003" w:tentative="1">
      <w:start w:val="1"/>
      <w:numFmt w:val="bullet"/>
      <w:lvlText w:val="o"/>
      <w:lvlJc w:val="left"/>
      <w:pPr>
        <w:ind w:left="7950" w:hanging="360"/>
      </w:pPr>
      <w:rPr>
        <w:rFonts w:ascii="Courier New" w:hAnsi="Courier New" w:cs="Courier New" w:hint="default"/>
      </w:rPr>
    </w:lvl>
    <w:lvl w:ilvl="8" w:tplc="040A0005" w:tentative="1">
      <w:start w:val="1"/>
      <w:numFmt w:val="bullet"/>
      <w:lvlText w:val=""/>
      <w:lvlJc w:val="left"/>
      <w:pPr>
        <w:ind w:left="8670" w:hanging="360"/>
      </w:pPr>
      <w:rPr>
        <w:rFonts w:ascii="Wingdings" w:hAnsi="Wingdings" w:hint="default"/>
      </w:rPr>
    </w:lvl>
  </w:abstractNum>
  <w:abstractNum w:abstractNumId="12">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5">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7">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1">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2">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3">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4991033E"/>
    <w:multiLevelType w:val="hybridMultilevel"/>
    <w:tmpl w:val="1B6EC96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7">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3">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4">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40">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7"/>
  </w:num>
  <w:num w:numId="6">
    <w:abstractNumId w:val="7"/>
  </w:num>
  <w:num w:numId="7">
    <w:abstractNumId w:val="35"/>
  </w:num>
  <w:num w:numId="8">
    <w:abstractNumId w:val="19"/>
  </w:num>
  <w:num w:numId="9">
    <w:abstractNumId w:val="27"/>
  </w:num>
  <w:num w:numId="10">
    <w:abstractNumId w:val="6"/>
  </w:num>
  <w:num w:numId="11">
    <w:abstractNumId w:val="4"/>
  </w:num>
  <w:num w:numId="12">
    <w:abstractNumId w:val="34"/>
  </w:num>
  <w:num w:numId="13">
    <w:abstractNumId w:val="9"/>
  </w:num>
  <w:num w:numId="14">
    <w:abstractNumId w:val="15"/>
  </w:num>
  <w:num w:numId="15">
    <w:abstractNumId w:val="29"/>
  </w:num>
  <w:num w:numId="16">
    <w:abstractNumId w:val="28"/>
  </w:num>
  <w:num w:numId="17">
    <w:abstractNumId w:val="3"/>
  </w:num>
  <w:num w:numId="18">
    <w:abstractNumId w:val="5"/>
  </w:num>
  <w:num w:numId="19">
    <w:abstractNumId w:val="37"/>
  </w:num>
  <w:num w:numId="20">
    <w:abstractNumId w:val="38"/>
  </w:num>
  <w:num w:numId="21">
    <w:abstractNumId w:val="23"/>
  </w:num>
  <w:num w:numId="22">
    <w:abstractNumId w:val="18"/>
  </w:num>
  <w:num w:numId="23">
    <w:abstractNumId w:val="12"/>
  </w:num>
  <w:num w:numId="24">
    <w:abstractNumId w:val="13"/>
  </w:num>
  <w:num w:numId="25">
    <w:abstractNumId w:val="24"/>
  </w:num>
  <w:num w:numId="26">
    <w:abstractNumId w:val="2"/>
  </w:num>
  <w:num w:numId="27">
    <w:abstractNumId w:val="21"/>
  </w:num>
  <w:num w:numId="28">
    <w:abstractNumId w:val="20"/>
  </w:num>
  <w:num w:numId="29">
    <w:abstractNumId w:val="26"/>
  </w:num>
  <w:num w:numId="30">
    <w:abstractNumId w:val="22"/>
  </w:num>
  <w:num w:numId="31">
    <w:abstractNumId w:val="32"/>
  </w:num>
  <w:num w:numId="32">
    <w:abstractNumId w:val="39"/>
  </w:num>
  <w:num w:numId="33">
    <w:abstractNumId w:val="16"/>
  </w:num>
  <w:num w:numId="34">
    <w:abstractNumId w:val="14"/>
  </w:num>
  <w:num w:numId="35">
    <w:abstractNumId w:val="36"/>
  </w:num>
  <w:num w:numId="36">
    <w:abstractNumId w:val="33"/>
  </w:num>
  <w:num w:numId="37">
    <w:abstractNumId w:val="30"/>
  </w:num>
  <w:num w:numId="38">
    <w:abstractNumId w:val="31"/>
  </w:num>
  <w:num w:numId="39">
    <w:abstractNumId w:val="40"/>
  </w:num>
  <w:num w:numId="40">
    <w:abstractNumId w:val="25"/>
  </w:num>
  <w:num w:numId="41">
    <w:abstractNumId w:val="10"/>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466F4"/>
    <w:rsid w:val="00051372"/>
    <w:rsid w:val="000565EB"/>
    <w:rsid w:val="00056A15"/>
    <w:rsid w:val="00056CF3"/>
    <w:rsid w:val="00057344"/>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837D2"/>
    <w:rsid w:val="000908F9"/>
    <w:rsid w:val="0009147D"/>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231B"/>
    <w:rsid w:val="000B4DFD"/>
    <w:rsid w:val="000B5458"/>
    <w:rsid w:val="000B5BE5"/>
    <w:rsid w:val="000B5EE8"/>
    <w:rsid w:val="000B6800"/>
    <w:rsid w:val="000B7256"/>
    <w:rsid w:val="000C0AF7"/>
    <w:rsid w:val="000C4B04"/>
    <w:rsid w:val="000C5C57"/>
    <w:rsid w:val="000D1313"/>
    <w:rsid w:val="000D2DAC"/>
    <w:rsid w:val="000D33D4"/>
    <w:rsid w:val="000D7EEF"/>
    <w:rsid w:val="000E0727"/>
    <w:rsid w:val="000E37C3"/>
    <w:rsid w:val="000E4C2E"/>
    <w:rsid w:val="000E50FE"/>
    <w:rsid w:val="000E5E4B"/>
    <w:rsid w:val="000E60FB"/>
    <w:rsid w:val="000E67A4"/>
    <w:rsid w:val="000E6B46"/>
    <w:rsid w:val="000E79B5"/>
    <w:rsid w:val="000E79FE"/>
    <w:rsid w:val="000E7A3B"/>
    <w:rsid w:val="000F1356"/>
    <w:rsid w:val="000F15B7"/>
    <w:rsid w:val="000F3AFE"/>
    <w:rsid w:val="000F4B0A"/>
    <w:rsid w:val="000F6DDD"/>
    <w:rsid w:val="001033D9"/>
    <w:rsid w:val="00107A35"/>
    <w:rsid w:val="00111F56"/>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1785"/>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28AA"/>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291A"/>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049E"/>
    <w:rsid w:val="00253A17"/>
    <w:rsid w:val="00253F01"/>
    <w:rsid w:val="002559D4"/>
    <w:rsid w:val="0025692C"/>
    <w:rsid w:val="00256E7A"/>
    <w:rsid w:val="00261200"/>
    <w:rsid w:val="00262C58"/>
    <w:rsid w:val="0026681D"/>
    <w:rsid w:val="0026753D"/>
    <w:rsid w:val="00272D77"/>
    <w:rsid w:val="002744AF"/>
    <w:rsid w:val="00274652"/>
    <w:rsid w:val="00274C34"/>
    <w:rsid w:val="002761C7"/>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2C5"/>
    <w:rsid w:val="002B7430"/>
    <w:rsid w:val="002C0631"/>
    <w:rsid w:val="002C2D06"/>
    <w:rsid w:val="002C5166"/>
    <w:rsid w:val="002C5CAC"/>
    <w:rsid w:val="002C61EA"/>
    <w:rsid w:val="002C6C22"/>
    <w:rsid w:val="002D2518"/>
    <w:rsid w:val="002D4C83"/>
    <w:rsid w:val="002D6730"/>
    <w:rsid w:val="002E05BF"/>
    <w:rsid w:val="002E14EE"/>
    <w:rsid w:val="002E2362"/>
    <w:rsid w:val="002E4297"/>
    <w:rsid w:val="002E5F89"/>
    <w:rsid w:val="002E60AA"/>
    <w:rsid w:val="002F1DA3"/>
    <w:rsid w:val="002F3068"/>
    <w:rsid w:val="002F3B43"/>
    <w:rsid w:val="002F7418"/>
    <w:rsid w:val="002F7B7F"/>
    <w:rsid w:val="00301CF5"/>
    <w:rsid w:val="00303D4C"/>
    <w:rsid w:val="0030562E"/>
    <w:rsid w:val="0030636A"/>
    <w:rsid w:val="00306662"/>
    <w:rsid w:val="00306B13"/>
    <w:rsid w:val="0030777E"/>
    <w:rsid w:val="003100A2"/>
    <w:rsid w:val="00313E60"/>
    <w:rsid w:val="00316636"/>
    <w:rsid w:val="003166E6"/>
    <w:rsid w:val="00317D32"/>
    <w:rsid w:val="0032062F"/>
    <w:rsid w:val="00321D20"/>
    <w:rsid w:val="003226D1"/>
    <w:rsid w:val="00322755"/>
    <w:rsid w:val="00323B43"/>
    <w:rsid w:val="003300C2"/>
    <w:rsid w:val="00330755"/>
    <w:rsid w:val="003328EB"/>
    <w:rsid w:val="00334567"/>
    <w:rsid w:val="00335648"/>
    <w:rsid w:val="00337714"/>
    <w:rsid w:val="00337CBD"/>
    <w:rsid w:val="00340438"/>
    <w:rsid w:val="00342A1C"/>
    <w:rsid w:val="003462A8"/>
    <w:rsid w:val="0034732C"/>
    <w:rsid w:val="00347C44"/>
    <w:rsid w:val="003524C5"/>
    <w:rsid w:val="003567B3"/>
    <w:rsid w:val="00356C58"/>
    <w:rsid w:val="00363A1A"/>
    <w:rsid w:val="0036537A"/>
    <w:rsid w:val="00366C06"/>
    <w:rsid w:val="003678D4"/>
    <w:rsid w:val="00367D05"/>
    <w:rsid w:val="00367E5A"/>
    <w:rsid w:val="00367F10"/>
    <w:rsid w:val="0037113D"/>
    <w:rsid w:val="003713D1"/>
    <w:rsid w:val="00371475"/>
    <w:rsid w:val="0037151B"/>
    <w:rsid w:val="003746A5"/>
    <w:rsid w:val="0037470D"/>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3CBB"/>
    <w:rsid w:val="003F4F9A"/>
    <w:rsid w:val="00400B32"/>
    <w:rsid w:val="004038DD"/>
    <w:rsid w:val="00403C9B"/>
    <w:rsid w:val="00405175"/>
    <w:rsid w:val="00411185"/>
    <w:rsid w:val="004146E9"/>
    <w:rsid w:val="00414A9C"/>
    <w:rsid w:val="004153AD"/>
    <w:rsid w:val="004157E6"/>
    <w:rsid w:val="00417A61"/>
    <w:rsid w:val="0042098F"/>
    <w:rsid w:val="00434344"/>
    <w:rsid w:val="00434B90"/>
    <w:rsid w:val="004369F1"/>
    <w:rsid w:val="00442304"/>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5689D"/>
    <w:rsid w:val="00456CD5"/>
    <w:rsid w:val="004602EA"/>
    <w:rsid w:val="004613E1"/>
    <w:rsid w:val="00462CC6"/>
    <w:rsid w:val="00463536"/>
    <w:rsid w:val="00464187"/>
    <w:rsid w:val="004643AE"/>
    <w:rsid w:val="004656B2"/>
    <w:rsid w:val="00465FB7"/>
    <w:rsid w:val="004668E8"/>
    <w:rsid w:val="0047086A"/>
    <w:rsid w:val="00470977"/>
    <w:rsid w:val="00471E20"/>
    <w:rsid w:val="004730F8"/>
    <w:rsid w:val="00473B53"/>
    <w:rsid w:val="00473D1F"/>
    <w:rsid w:val="004757B7"/>
    <w:rsid w:val="00476B55"/>
    <w:rsid w:val="00477485"/>
    <w:rsid w:val="004813F3"/>
    <w:rsid w:val="00481B4A"/>
    <w:rsid w:val="00481F25"/>
    <w:rsid w:val="00482E92"/>
    <w:rsid w:val="00483F69"/>
    <w:rsid w:val="00484098"/>
    <w:rsid w:val="0048470D"/>
    <w:rsid w:val="00485F20"/>
    <w:rsid w:val="00487F54"/>
    <w:rsid w:val="00492E1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E7DF5"/>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0A9C"/>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768AD"/>
    <w:rsid w:val="005812FF"/>
    <w:rsid w:val="00581D8A"/>
    <w:rsid w:val="00583BCA"/>
    <w:rsid w:val="00585C6D"/>
    <w:rsid w:val="00587557"/>
    <w:rsid w:val="00590A04"/>
    <w:rsid w:val="00590F0B"/>
    <w:rsid w:val="00593690"/>
    <w:rsid w:val="0059445D"/>
    <w:rsid w:val="005A0DC5"/>
    <w:rsid w:val="005A1968"/>
    <w:rsid w:val="005A20F6"/>
    <w:rsid w:val="005A2D14"/>
    <w:rsid w:val="005A5816"/>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1B84"/>
    <w:rsid w:val="005E481B"/>
    <w:rsid w:val="005E4E94"/>
    <w:rsid w:val="005E74BE"/>
    <w:rsid w:val="005E7C43"/>
    <w:rsid w:val="005F032C"/>
    <w:rsid w:val="005F147F"/>
    <w:rsid w:val="005F2031"/>
    <w:rsid w:val="005F22BF"/>
    <w:rsid w:val="005F36F5"/>
    <w:rsid w:val="005F537B"/>
    <w:rsid w:val="005F580F"/>
    <w:rsid w:val="005F790E"/>
    <w:rsid w:val="006003CD"/>
    <w:rsid w:val="00600EA4"/>
    <w:rsid w:val="006018AE"/>
    <w:rsid w:val="00604BA2"/>
    <w:rsid w:val="00604CBB"/>
    <w:rsid w:val="00605CBF"/>
    <w:rsid w:val="00607EC5"/>
    <w:rsid w:val="00607F12"/>
    <w:rsid w:val="00610FB5"/>
    <w:rsid w:val="00611133"/>
    <w:rsid w:val="0061131F"/>
    <w:rsid w:val="00612687"/>
    <w:rsid w:val="00616515"/>
    <w:rsid w:val="00617BD3"/>
    <w:rsid w:val="00620170"/>
    <w:rsid w:val="006220F5"/>
    <w:rsid w:val="00622A08"/>
    <w:rsid w:val="00624F4A"/>
    <w:rsid w:val="00625114"/>
    <w:rsid w:val="0062551F"/>
    <w:rsid w:val="00625844"/>
    <w:rsid w:val="00632EBF"/>
    <w:rsid w:val="00633199"/>
    <w:rsid w:val="006404D8"/>
    <w:rsid w:val="00640792"/>
    <w:rsid w:val="006439E1"/>
    <w:rsid w:val="00644D6E"/>
    <w:rsid w:val="0064606A"/>
    <w:rsid w:val="006471AC"/>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5089"/>
    <w:rsid w:val="0068798B"/>
    <w:rsid w:val="006901FF"/>
    <w:rsid w:val="006920EC"/>
    <w:rsid w:val="00692755"/>
    <w:rsid w:val="00693672"/>
    <w:rsid w:val="00695545"/>
    <w:rsid w:val="00696339"/>
    <w:rsid w:val="00697564"/>
    <w:rsid w:val="006A1B55"/>
    <w:rsid w:val="006A21FE"/>
    <w:rsid w:val="006A420A"/>
    <w:rsid w:val="006A4FE3"/>
    <w:rsid w:val="006A51E8"/>
    <w:rsid w:val="006A6D19"/>
    <w:rsid w:val="006A7F2B"/>
    <w:rsid w:val="006B0B2A"/>
    <w:rsid w:val="006B20E1"/>
    <w:rsid w:val="006B3EBC"/>
    <w:rsid w:val="006B42EB"/>
    <w:rsid w:val="006B744C"/>
    <w:rsid w:val="006B7585"/>
    <w:rsid w:val="006C1DE8"/>
    <w:rsid w:val="006C39B6"/>
    <w:rsid w:val="006C516B"/>
    <w:rsid w:val="006C6523"/>
    <w:rsid w:val="006C72DD"/>
    <w:rsid w:val="006C7B24"/>
    <w:rsid w:val="006D0932"/>
    <w:rsid w:val="006D20D3"/>
    <w:rsid w:val="006D29AC"/>
    <w:rsid w:val="006D422A"/>
    <w:rsid w:val="006D6755"/>
    <w:rsid w:val="006D720F"/>
    <w:rsid w:val="006E08A8"/>
    <w:rsid w:val="006E1101"/>
    <w:rsid w:val="006E1EAE"/>
    <w:rsid w:val="006E2042"/>
    <w:rsid w:val="006E3CED"/>
    <w:rsid w:val="006E45DB"/>
    <w:rsid w:val="006E56D4"/>
    <w:rsid w:val="006E57D4"/>
    <w:rsid w:val="006F342C"/>
    <w:rsid w:val="006F3A15"/>
    <w:rsid w:val="006F4623"/>
    <w:rsid w:val="006F4C44"/>
    <w:rsid w:val="006F7296"/>
    <w:rsid w:val="006F7BD6"/>
    <w:rsid w:val="00700AB7"/>
    <w:rsid w:val="0070250B"/>
    <w:rsid w:val="00703D01"/>
    <w:rsid w:val="00705335"/>
    <w:rsid w:val="007062C8"/>
    <w:rsid w:val="00711DAF"/>
    <w:rsid w:val="007129D4"/>
    <w:rsid w:val="0071329D"/>
    <w:rsid w:val="00714F07"/>
    <w:rsid w:val="00715919"/>
    <w:rsid w:val="00723424"/>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0738"/>
    <w:rsid w:val="00764DA0"/>
    <w:rsid w:val="00765D31"/>
    <w:rsid w:val="00766B9E"/>
    <w:rsid w:val="00767E51"/>
    <w:rsid w:val="00770381"/>
    <w:rsid w:val="007707D2"/>
    <w:rsid w:val="00771771"/>
    <w:rsid w:val="007724FF"/>
    <w:rsid w:val="00773C91"/>
    <w:rsid w:val="007748D7"/>
    <w:rsid w:val="00774EDC"/>
    <w:rsid w:val="0077559A"/>
    <w:rsid w:val="00775A6F"/>
    <w:rsid w:val="00777465"/>
    <w:rsid w:val="00781413"/>
    <w:rsid w:val="007825AF"/>
    <w:rsid w:val="00783006"/>
    <w:rsid w:val="0078564F"/>
    <w:rsid w:val="00786F1E"/>
    <w:rsid w:val="00790C92"/>
    <w:rsid w:val="007934C9"/>
    <w:rsid w:val="00794129"/>
    <w:rsid w:val="00794CA0"/>
    <w:rsid w:val="0079530F"/>
    <w:rsid w:val="00797B37"/>
    <w:rsid w:val="007A2509"/>
    <w:rsid w:val="007A33AF"/>
    <w:rsid w:val="007A46B3"/>
    <w:rsid w:val="007A4D31"/>
    <w:rsid w:val="007A500B"/>
    <w:rsid w:val="007A551B"/>
    <w:rsid w:val="007A5BB2"/>
    <w:rsid w:val="007A6789"/>
    <w:rsid w:val="007B03E5"/>
    <w:rsid w:val="007B43D0"/>
    <w:rsid w:val="007B5F7B"/>
    <w:rsid w:val="007C1408"/>
    <w:rsid w:val="007C1DD3"/>
    <w:rsid w:val="007C2049"/>
    <w:rsid w:val="007C54AE"/>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57BBB"/>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2A79"/>
    <w:rsid w:val="008E601A"/>
    <w:rsid w:val="008E62E0"/>
    <w:rsid w:val="008F2EF1"/>
    <w:rsid w:val="008F6F6F"/>
    <w:rsid w:val="00910712"/>
    <w:rsid w:val="009118B8"/>
    <w:rsid w:val="00915191"/>
    <w:rsid w:val="00916875"/>
    <w:rsid w:val="00920197"/>
    <w:rsid w:val="0092129E"/>
    <w:rsid w:val="00921333"/>
    <w:rsid w:val="009233F9"/>
    <w:rsid w:val="00923FB9"/>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49B0"/>
    <w:rsid w:val="009961BF"/>
    <w:rsid w:val="009966AA"/>
    <w:rsid w:val="00996A21"/>
    <w:rsid w:val="009A3E9D"/>
    <w:rsid w:val="009A731A"/>
    <w:rsid w:val="009B0D8D"/>
    <w:rsid w:val="009B21BC"/>
    <w:rsid w:val="009B4011"/>
    <w:rsid w:val="009B4BB6"/>
    <w:rsid w:val="009B5E2D"/>
    <w:rsid w:val="009B7921"/>
    <w:rsid w:val="009C11E8"/>
    <w:rsid w:val="009C198A"/>
    <w:rsid w:val="009C28D6"/>
    <w:rsid w:val="009C3A80"/>
    <w:rsid w:val="009C5691"/>
    <w:rsid w:val="009C7D7F"/>
    <w:rsid w:val="009D1E05"/>
    <w:rsid w:val="009D30B0"/>
    <w:rsid w:val="009D58BC"/>
    <w:rsid w:val="009D6854"/>
    <w:rsid w:val="009E3A07"/>
    <w:rsid w:val="009E47E8"/>
    <w:rsid w:val="009E5128"/>
    <w:rsid w:val="009E5975"/>
    <w:rsid w:val="009F1DCD"/>
    <w:rsid w:val="009F2864"/>
    <w:rsid w:val="009F2D8A"/>
    <w:rsid w:val="009F2DCD"/>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45DCF"/>
    <w:rsid w:val="00A50E52"/>
    <w:rsid w:val="00A54C4D"/>
    <w:rsid w:val="00A568BC"/>
    <w:rsid w:val="00A60CA7"/>
    <w:rsid w:val="00A64AA2"/>
    <w:rsid w:val="00A71902"/>
    <w:rsid w:val="00A7261A"/>
    <w:rsid w:val="00A7373E"/>
    <w:rsid w:val="00A7766A"/>
    <w:rsid w:val="00A81C10"/>
    <w:rsid w:val="00A84C83"/>
    <w:rsid w:val="00A87F05"/>
    <w:rsid w:val="00A92B4B"/>
    <w:rsid w:val="00A93B78"/>
    <w:rsid w:val="00A93BE6"/>
    <w:rsid w:val="00A9543F"/>
    <w:rsid w:val="00A95EC4"/>
    <w:rsid w:val="00A97CC9"/>
    <w:rsid w:val="00AA1D16"/>
    <w:rsid w:val="00AA3508"/>
    <w:rsid w:val="00AA36C1"/>
    <w:rsid w:val="00AA5067"/>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BC2"/>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092"/>
    <w:rsid w:val="00B0136F"/>
    <w:rsid w:val="00B038BF"/>
    <w:rsid w:val="00B05C92"/>
    <w:rsid w:val="00B06E61"/>
    <w:rsid w:val="00B10F67"/>
    <w:rsid w:val="00B122AD"/>
    <w:rsid w:val="00B12BF1"/>
    <w:rsid w:val="00B15C30"/>
    <w:rsid w:val="00B23934"/>
    <w:rsid w:val="00B27421"/>
    <w:rsid w:val="00B32157"/>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5990"/>
    <w:rsid w:val="00BA771D"/>
    <w:rsid w:val="00BB1972"/>
    <w:rsid w:val="00BB2818"/>
    <w:rsid w:val="00BB4B60"/>
    <w:rsid w:val="00BB4B6A"/>
    <w:rsid w:val="00BB60A1"/>
    <w:rsid w:val="00BB7CDE"/>
    <w:rsid w:val="00BC09E7"/>
    <w:rsid w:val="00BC0B82"/>
    <w:rsid w:val="00BC21E0"/>
    <w:rsid w:val="00BC4E74"/>
    <w:rsid w:val="00BC70E0"/>
    <w:rsid w:val="00BD4966"/>
    <w:rsid w:val="00BD6544"/>
    <w:rsid w:val="00BD6DA9"/>
    <w:rsid w:val="00BE0108"/>
    <w:rsid w:val="00BE1252"/>
    <w:rsid w:val="00BE3877"/>
    <w:rsid w:val="00BF1478"/>
    <w:rsid w:val="00BF1CFB"/>
    <w:rsid w:val="00BF68C1"/>
    <w:rsid w:val="00BF6D92"/>
    <w:rsid w:val="00C02119"/>
    <w:rsid w:val="00C10AFF"/>
    <w:rsid w:val="00C11594"/>
    <w:rsid w:val="00C127BF"/>
    <w:rsid w:val="00C205CC"/>
    <w:rsid w:val="00C21912"/>
    <w:rsid w:val="00C25150"/>
    <w:rsid w:val="00C252EF"/>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A3C"/>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66D"/>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4B26"/>
    <w:rsid w:val="00D5581B"/>
    <w:rsid w:val="00D56C69"/>
    <w:rsid w:val="00D578E9"/>
    <w:rsid w:val="00D60191"/>
    <w:rsid w:val="00D62A89"/>
    <w:rsid w:val="00D648B7"/>
    <w:rsid w:val="00D64C52"/>
    <w:rsid w:val="00D66504"/>
    <w:rsid w:val="00D66987"/>
    <w:rsid w:val="00D66F18"/>
    <w:rsid w:val="00D672CC"/>
    <w:rsid w:val="00D67B1C"/>
    <w:rsid w:val="00D7096A"/>
    <w:rsid w:val="00D70F96"/>
    <w:rsid w:val="00D74A59"/>
    <w:rsid w:val="00D75053"/>
    <w:rsid w:val="00D752D3"/>
    <w:rsid w:val="00D76EC8"/>
    <w:rsid w:val="00D81B75"/>
    <w:rsid w:val="00D83ACF"/>
    <w:rsid w:val="00D86439"/>
    <w:rsid w:val="00D91BCC"/>
    <w:rsid w:val="00D93410"/>
    <w:rsid w:val="00D93E00"/>
    <w:rsid w:val="00D95B32"/>
    <w:rsid w:val="00D97219"/>
    <w:rsid w:val="00DA100E"/>
    <w:rsid w:val="00DA2635"/>
    <w:rsid w:val="00DA4FA2"/>
    <w:rsid w:val="00DA5D4D"/>
    <w:rsid w:val="00DB0684"/>
    <w:rsid w:val="00DB41F7"/>
    <w:rsid w:val="00DB64D2"/>
    <w:rsid w:val="00DB7DF5"/>
    <w:rsid w:val="00DC1114"/>
    <w:rsid w:val="00DC1EB5"/>
    <w:rsid w:val="00DC27F5"/>
    <w:rsid w:val="00DC2BA5"/>
    <w:rsid w:val="00DC2BA6"/>
    <w:rsid w:val="00DC47F0"/>
    <w:rsid w:val="00DC54A1"/>
    <w:rsid w:val="00DC6C42"/>
    <w:rsid w:val="00DC7C2D"/>
    <w:rsid w:val="00DD269F"/>
    <w:rsid w:val="00DD3041"/>
    <w:rsid w:val="00DD3882"/>
    <w:rsid w:val="00DD445B"/>
    <w:rsid w:val="00DD4783"/>
    <w:rsid w:val="00DD575C"/>
    <w:rsid w:val="00DD6113"/>
    <w:rsid w:val="00DD7596"/>
    <w:rsid w:val="00DD7614"/>
    <w:rsid w:val="00DE11DB"/>
    <w:rsid w:val="00DE3A55"/>
    <w:rsid w:val="00DE564B"/>
    <w:rsid w:val="00DF227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4C08"/>
    <w:rsid w:val="00E55C48"/>
    <w:rsid w:val="00E55CB7"/>
    <w:rsid w:val="00E55DD4"/>
    <w:rsid w:val="00E5785C"/>
    <w:rsid w:val="00E61A7D"/>
    <w:rsid w:val="00E6290A"/>
    <w:rsid w:val="00E63609"/>
    <w:rsid w:val="00E644BE"/>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5DAF"/>
    <w:rsid w:val="00EA77B1"/>
    <w:rsid w:val="00EA7CD6"/>
    <w:rsid w:val="00EB0557"/>
    <w:rsid w:val="00EB1E09"/>
    <w:rsid w:val="00EB290C"/>
    <w:rsid w:val="00EB2D0D"/>
    <w:rsid w:val="00EB6642"/>
    <w:rsid w:val="00EB79C6"/>
    <w:rsid w:val="00EB7DAC"/>
    <w:rsid w:val="00EC0596"/>
    <w:rsid w:val="00EC1367"/>
    <w:rsid w:val="00EC3C4E"/>
    <w:rsid w:val="00EC544C"/>
    <w:rsid w:val="00ED17D4"/>
    <w:rsid w:val="00ED1DEF"/>
    <w:rsid w:val="00ED2B42"/>
    <w:rsid w:val="00ED59D2"/>
    <w:rsid w:val="00ED66D8"/>
    <w:rsid w:val="00ED6CBC"/>
    <w:rsid w:val="00ED7C55"/>
    <w:rsid w:val="00EE0730"/>
    <w:rsid w:val="00EE0F0D"/>
    <w:rsid w:val="00EE16C9"/>
    <w:rsid w:val="00EE1819"/>
    <w:rsid w:val="00EE2877"/>
    <w:rsid w:val="00EE4409"/>
    <w:rsid w:val="00EE4E84"/>
    <w:rsid w:val="00EF0505"/>
    <w:rsid w:val="00EF05A4"/>
    <w:rsid w:val="00EF0BE7"/>
    <w:rsid w:val="00EF0E49"/>
    <w:rsid w:val="00EF11BF"/>
    <w:rsid w:val="00EF3CA7"/>
    <w:rsid w:val="00EF4A01"/>
    <w:rsid w:val="00EF6CBB"/>
    <w:rsid w:val="00F01E19"/>
    <w:rsid w:val="00F0669D"/>
    <w:rsid w:val="00F10399"/>
    <w:rsid w:val="00F12FCF"/>
    <w:rsid w:val="00F17621"/>
    <w:rsid w:val="00F20423"/>
    <w:rsid w:val="00F21440"/>
    <w:rsid w:val="00F22E72"/>
    <w:rsid w:val="00F2578D"/>
    <w:rsid w:val="00F25FBE"/>
    <w:rsid w:val="00F266B6"/>
    <w:rsid w:val="00F27554"/>
    <w:rsid w:val="00F3630E"/>
    <w:rsid w:val="00F37CF2"/>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3ED2"/>
    <w:rsid w:val="00F848FF"/>
    <w:rsid w:val="00F930AE"/>
    <w:rsid w:val="00F9639B"/>
    <w:rsid w:val="00FA25D1"/>
    <w:rsid w:val="00FA3EE7"/>
    <w:rsid w:val="00FB099F"/>
    <w:rsid w:val="00FB1B00"/>
    <w:rsid w:val="00FB2380"/>
    <w:rsid w:val="00FB465B"/>
    <w:rsid w:val="00FB47AD"/>
    <w:rsid w:val="00FB4D6F"/>
    <w:rsid w:val="00FB5E92"/>
    <w:rsid w:val="00FB7C87"/>
    <w:rsid w:val="00FC0221"/>
    <w:rsid w:val="00FC221D"/>
    <w:rsid w:val="00FC3026"/>
    <w:rsid w:val="00FC639C"/>
    <w:rsid w:val="00FD124F"/>
    <w:rsid w:val="00FD170B"/>
    <w:rsid w:val="00FD227F"/>
    <w:rsid w:val="00FD3ABE"/>
    <w:rsid w:val="00FD4522"/>
    <w:rsid w:val="00FD6173"/>
    <w:rsid w:val="00FD6CE5"/>
    <w:rsid w:val="00FE1B9C"/>
    <w:rsid w:val="00FE4759"/>
    <w:rsid w:val="00FE71DF"/>
    <w:rsid w:val="00FE7FDC"/>
    <w:rsid w:val="00FF09F3"/>
    <w:rsid w:val="00FF2D40"/>
    <w:rsid w:val="00FF2DF4"/>
    <w:rsid w:val="00FF3493"/>
    <w:rsid w:val="00FF38CF"/>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rsid w:val="00E644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644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E644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3">
    <w:name w:val="Table Columns 3"/>
    <w:basedOn w:val="Tablanormal"/>
    <w:rsid w:val="00E644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rsid w:val="00E644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644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E644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3">
    <w:name w:val="Table Columns 3"/>
    <w:basedOn w:val="Tablanormal"/>
    <w:rsid w:val="00E644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856508894">
      <w:bodyDiv w:val="1"/>
      <w:marLeft w:val="0"/>
      <w:marRight w:val="0"/>
      <w:marTop w:val="0"/>
      <w:marBottom w:val="0"/>
      <w:divBdr>
        <w:top w:val="none" w:sz="0" w:space="0" w:color="auto"/>
        <w:left w:val="none" w:sz="0" w:space="0" w:color="auto"/>
        <w:bottom w:val="none" w:sz="0" w:space="0" w:color="auto"/>
        <w:right w:val="none" w:sz="0" w:space="0" w:color="auto"/>
      </w:divBdr>
    </w:div>
    <w:div w:id="1080445946">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442382003">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E120CD-5ABE-40B5-996C-3466D140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Convocatoria.dot</Template>
  <TotalTime>116</TotalTime>
  <Pages>3</Pages>
  <Words>702</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4180</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20</cp:revision>
  <cp:lastPrinted>2019-12-09T12:09:00Z</cp:lastPrinted>
  <dcterms:created xsi:type="dcterms:W3CDTF">2019-12-02T09:54:00Z</dcterms:created>
  <dcterms:modified xsi:type="dcterms:W3CDTF">2019-12-09T12:10:00Z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