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D1" w:rsidRPr="000E2470" w:rsidRDefault="007622D1" w:rsidP="007622D1">
      <w:pPr>
        <w:pStyle w:val="Piedepgina"/>
        <w:ind w:left="2127"/>
        <w:rPr>
          <w:rFonts w:ascii="Arial Narrow" w:hAnsi="Arial Narrow"/>
          <w:sz w:val="27"/>
          <w:szCs w:val="27"/>
          <w:u w:val="single"/>
          <w:lang w:val="es-ES"/>
        </w:rPr>
      </w:pPr>
      <w:r>
        <w:rPr>
          <w:rFonts w:ascii="Arial Narrow" w:hAnsi="Arial Narrow"/>
          <w:noProof/>
          <w:sz w:val="27"/>
          <w:szCs w:val="27"/>
          <w:u w:val="single"/>
          <w:lang w:val="es-ES"/>
        </w:rPr>
        <w:pict>
          <v:shapetype id="_x0000_t202" coordsize="21600,21600" o:spt="202" path="m,l,21600r21600,l21600,xe">
            <v:stroke joinstyle="miter"/>
            <v:path gradientshapeok="t" o:connecttype="rect"/>
          </v:shapetype>
          <v:shape id="Text Box 8" o:spid="_x0000_s1031" type="#_x0000_t202" style="position:absolute;left:0;text-align:left;margin-left:-6.2pt;margin-top:-12.05pt;width:63pt;height:32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" filled="f" stroked="f">
            <v:textbox style="layout-flow:vertical;mso-layout-flow-alt:bottom-to-top">
              <w:txbxContent>
                <w:p w:rsidR="007622D1" w:rsidRDefault="007622D1" w:rsidP="007622D1">
                  <w:pPr>
                    <w:pStyle w:val="Ttulo4"/>
                    <w:jc w:val="left"/>
                    <w:rPr>
                      <w:color w:val="999999"/>
                    </w:rPr>
                  </w:pPr>
                  <w:r>
                    <w:rPr>
                      <w:color w:val="999999"/>
                    </w:rPr>
                    <w:t xml:space="preserve">  Nota de Prensa </w:t>
                  </w:r>
                  <w:proofErr w:type="spellStart"/>
                  <w:r>
                    <w:rPr>
                      <w:color w:val="999999"/>
                    </w:rPr>
                    <w:t>PrensaPrensaComunicado</w:t>
                  </w:r>
                  <w:proofErr w:type="spellEnd"/>
                </w:p>
              </w:txbxContent>
            </v:textbox>
          </v:shape>
        </w:pict>
      </w:r>
      <w:r w:rsidRPr="000E2470">
        <w:rPr>
          <w:rFonts w:ascii="Arial Narrow" w:hAnsi="Arial Narrow"/>
          <w:sz w:val="27"/>
          <w:szCs w:val="27"/>
          <w:u w:val="single"/>
          <w:lang w:val="es-ES"/>
        </w:rPr>
        <w:t xml:space="preserve">La comisionada del Gobierno frente al Reto Demográfico comparece en el Congreso </w:t>
      </w:r>
    </w:p>
    <w:p w:rsidR="007622D1" w:rsidRDefault="007622D1" w:rsidP="007622D1">
      <w:pPr>
        <w:pStyle w:val="Piedepgina"/>
        <w:ind w:left="2127"/>
        <w:rPr>
          <w:rFonts w:ascii="Arial Narrow" w:hAnsi="Arial Narrow"/>
          <w:sz w:val="2"/>
          <w:szCs w:val="2"/>
          <w:lang w:val="es-ES"/>
        </w:rPr>
      </w:pPr>
    </w:p>
    <w:p w:rsidR="007622D1" w:rsidRDefault="007622D1" w:rsidP="007622D1">
      <w:pPr>
        <w:pStyle w:val="Piedepgina"/>
        <w:ind w:left="2127"/>
        <w:rPr>
          <w:rFonts w:ascii="Arial Narrow" w:hAnsi="Arial Narrow"/>
          <w:sz w:val="2"/>
          <w:szCs w:val="2"/>
          <w:lang w:val="es-ES"/>
        </w:rPr>
      </w:pPr>
    </w:p>
    <w:p w:rsidR="007622D1" w:rsidRDefault="007622D1" w:rsidP="007622D1">
      <w:pPr>
        <w:pStyle w:val="Piedepgina"/>
        <w:ind w:left="2127"/>
        <w:rPr>
          <w:rFonts w:ascii="Arial Narrow" w:hAnsi="Arial Narrow"/>
          <w:sz w:val="2"/>
          <w:szCs w:val="2"/>
          <w:lang w:val="es-ES"/>
        </w:rPr>
      </w:pPr>
    </w:p>
    <w:p w:rsidR="007622D1" w:rsidRDefault="007622D1" w:rsidP="007622D1">
      <w:pPr>
        <w:pStyle w:val="Piedepgina"/>
        <w:ind w:left="2127"/>
        <w:rPr>
          <w:rFonts w:ascii="Arial Narrow" w:hAnsi="Arial Narrow"/>
          <w:sz w:val="2"/>
          <w:szCs w:val="2"/>
          <w:lang w:val="es-ES"/>
        </w:rPr>
      </w:pPr>
    </w:p>
    <w:p w:rsidR="007622D1" w:rsidRPr="008A19DB" w:rsidRDefault="007622D1" w:rsidP="007622D1">
      <w:pPr>
        <w:pStyle w:val="Piedepgina"/>
        <w:ind w:left="2127"/>
        <w:rPr>
          <w:rFonts w:ascii="Arial Narrow" w:hAnsi="Arial Narrow"/>
          <w:b/>
          <w:sz w:val="2"/>
          <w:szCs w:val="2"/>
          <w:lang w:val="es-ES"/>
        </w:rPr>
      </w:pPr>
    </w:p>
    <w:p w:rsidR="007622D1" w:rsidRPr="00C7791A" w:rsidRDefault="007622D1" w:rsidP="007622D1">
      <w:pPr>
        <w:pStyle w:val="Piedepgina"/>
        <w:ind w:left="2127"/>
        <w:rPr>
          <w:rFonts w:ascii="Arial Narrow" w:hAnsi="Arial Narrow"/>
          <w:b/>
          <w:sz w:val="48"/>
          <w:szCs w:val="48"/>
          <w:lang w:val="es-ES"/>
        </w:rPr>
      </w:pPr>
      <w:r w:rsidRPr="00C7791A">
        <w:rPr>
          <w:rFonts w:ascii="Arial Narrow" w:hAnsi="Arial Narrow"/>
          <w:b/>
          <w:sz w:val="48"/>
          <w:szCs w:val="48"/>
          <w:lang w:val="es-ES"/>
        </w:rPr>
        <w:t xml:space="preserve">Edelmira Barreira: “Es necesario mantener el </w:t>
      </w:r>
      <w:r>
        <w:rPr>
          <w:rFonts w:ascii="Arial Narrow" w:hAnsi="Arial Narrow"/>
          <w:b/>
          <w:sz w:val="48"/>
          <w:szCs w:val="48"/>
          <w:lang w:val="es-ES"/>
        </w:rPr>
        <w:t>acuerdo</w:t>
      </w:r>
      <w:r w:rsidRPr="00C7791A">
        <w:rPr>
          <w:rFonts w:ascii="Arial Narrow" w:hAnsi="Arial Narrow"/>
          <w:b/>
          <w:sz w:val="48"/>
          <w:szCs w:val="48"/>
          <w:lang w:val="es-ES"/>
        </w:rPr>
        <w:t xml:space="preserve"> para abordar el reto demográfico, una cuestión que demanda compromiso y colaboración, porque nos afecta a todos”</w:t>
      </w: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Default="007622D1" w:rsidP="007622D1">
      <w:pPr>
        <w:pStyle w:val="Piedepgina"/>
        <w:ind w:left="2410"/>
        <w:jc w:val="both"/>
        <w:rPr>
          <w:rFonts w:ascii="Arial Narrow" w:hAnsi="Arial Narrow"/>
          <w:b/>
          <w:sz w:val="2"/>
          <w:szCs w:val="2"/>
          <w:lang w:val="es-ES"/>
        </w:rPr>
      </w:pPr>
    </w:p>
    <w:p w:rsidR="007622D1" w:rsidRPr="00C7791A" w:rsidRDefault="007622D1" w:rsidP="007622D1">
      <w:pPr>
        <w:pStyle w:val="Piedepgina"/>
        <w:ind w:left="2410"/>
        <w:jc w:val="both"/>
        <w:rPr>
          <w:rFonts w:ascii="Arial Narrow" w:hAnsi="Arial Narrow"/>
          <w:b/>
          <w:sz w:val="2"/>
          <w:szCs w:val="2"/>
          <w:lang w:val="es-ES"/>
        </w:rPr>
      </w:pPr>
    </w:p>
    <w:p w:rsidR="007622D1" w:rsidRPr="00C7791A" w:rsidRDefault="007622D1" w:rsidP="007622D1">
      <w:pPr>
        <w:pStyle w:val="Piedepgina"/>
        <w:numPr>
          <w:ilvl w:val="0"/>
          <w:numId w:val="35"/>
        </w:numPr>
        <w:ind w:left="2410" w:hanging="283"/>
        <w:jc w:val="both"/>
        <w:rPr>
          <w:rFonts w:ascii="Arial Narrow" w:hAnsi="Arial Narrow"/>
          <w:b/>
          <w:sz w:val="27"/>
          <w:szCs w:val="27"/>
          <w:lang w:val="es-ES"/>
        </w:rPr>
      </w:pPr>
      <w:r w:rsidRPr="00C7791A">
        <w:rPr>
          <w:rFonts w:ascii="Arial Narrow" w:hAnsi="Arial Narrow"/>
          <w:b/>
          <w:sz w:val="27"/>
          <w:szCs w:val="27"/>
          <w:lang w:val="es-ES"/>
        </w:rPr>
        <w:t xml:space="preserve">La comisionada ha descrito la actual situación, con una progresiva  longevidad, baja tasa de natalidad y </w:t>
      </w:r>
      <w:r>
        <w:rPr>
          <w:rFonts w:ascii="Arial Narrow" w:hAnsi="Arial Narrow"/>
          <w:b/>
          <w:sz w:val="27"/>
          <w:szCs w:val="27"/>
          <w:lang w:val="es-ES"/>
        </w:rPr>
        <w:t>los problemas de despoblación</w:t>
      </w:r>
      <w:r w:rsidRPr="00C7791A">
        <w:rPr>
          <w:rFonts w:ascii="Arial Narrow" w:hAnsi="Arial Narrow"/>
          <w:b/>
          <w:sz w:val="27"/>
          <w:szCs w:val="27"/>
          <w:lang w:val="es-ES"/>
        </w:rPr>
        <w:t>, y ha avanzado los trabajos que deben abordar todas las AAPP de forma conjunta para afrontar la situación</w:t>
      </w:r>
    </w:p>
    <w:p w:rsidR="007622D1"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Pr="00C7791A"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Default="007622D1" w:rsidP="007622D1">
      <w:pPr>
        <w:pStyle w:val="Piedepgina"/>
        <w:ind w:left="2127"/>
        <w:rPr>
          <w:rFonts w:ascii="Arial Narrow" w:hAnsi="Arial Narrow"/>
          <w:b/>
          <w:sz w:val="2"/>
          <w:szCs w:val="2"/>
          <w:lang w:val="es-ES"/>
        </w:rPr>
      </w:pPr>
    </w:p>
    <w:p w:rsidR="007622D1" w:rsidRPr="00C7791A" w:rsidRDefault="007622D1" w:rsidP="007622D1">
      <w:pPr>
        <w:pStyle w:val="Piedepgina"/>
        <w:ind w:left="2127"/>
        <w:jc w:val="both"/>
        <w:rPr>
          <w:rFonts w:ascii="Arial Narrow" w:hAnsi="Arial Narrow"/>
          <w:i/>
          <w:sz w:val="28"/>
          <w:szCs w:val="28"/>
          <w:lang w:val="es-ES"/>
        </w:rPr>
      </w:pPr>
      <w:r>
        <w:rPr>
          <w:rFonts w:ascii="Arial Narrow" w:hAnsi="Arial Narrow"/>
          <w:b/>
          <w:sz w:val="28"/>
          <w:szCs w:val="28"/>
        </w:rPr>
        <w:t>10</w:t>
      </w:r>
      <w:r>
        <w:rPr>
          <w:rFonts w:ascii="Arial Narrow" w:hAnsi="Arial Narrow"/>
          <w:b/>
          <w:sz w:val="28"/>
          <w:szCs w:val="28"/>
          <w:lang w:val="es-ES"/>
        </w:rPr>
        <w:t xml:space="preserve"> de mayo</w:t>
      </w:r>
      <w:r w:rsidRPr="00BB06ED">
        <w:rPr>
          <w:rFonts w:ascii="Arial Narrow" w:hAnsi="Arial Narrow"/>
          <w:b/>
          <w:sz w:val="28"/>
          <w:szCs w:val="28"/>
          <w:lang w:val="es-ES"/>
        </w:rPr>
        <w:t xml:space="preserve"> de 201</w:t>
      </w:r>
      <w:r>
        <w:rPr>
          <w:rFonts w:ascii="Arial Narrow" w:hAnsi="Arial Narrow"/>
          <w:b/>
          <w:sz w:val="28"/>
          <w:szCs w:val="28"/>
          <w:lang w:val="es-ES"/>
        </w:rPr>
        <w:t>7</w:t>
      </w:r>
      <w:r w:rsidRPr="00BB06ED">
        <w:rPr>
          <w:rFonts w:ascii="Arial Narrow" w:hAnsi="Arial Narrow"/>
          <w:b/>
          <w:sz w:val="28"/>
          <w:szCs w:val="28"/>
          <w:lang w:val="es-ES"/>
        </w:rPr>
        <w:t xml:space="preserve">.- </w:t>
      </w:r>
      <w:r w:rsidRPr="001028F0">
        <w:rPr>
          <w:rFonts w:ascii="Arial Narrow" w:hAnsi="Arial Narrow"/>
          <w:sz w:val="28"/>
          <w:szCs w:val="28"/>
          <w:lang w:val="es-ES"/>
        </w:rPr>
        <w:t xml:space="preserve">La comisionada del Gobierno frente al Reto Demográfico ha destacado </w:t>
      </w:r>
      <w:r>
        <w:rPr>
          <w:rFonts w:ascii="Arial Narrow" w:hAnsi="Arial Narrow"/>
          <w:sz w:val="28"/>
          <w:szCs w:val="28"/>
          <w:lang w:val="es-ES"/>
        </w:rPr>
        <w:t xml:space="preserve">que es necesario mantener el acuerdo manifestado por todas las Administraciones Públicas en la Conferencia de Presidentes, </w:t>
      </w:r>
      <w:r w:rsidRPr="00C7791A">
        <w:rPr>
          <w:rFonts w:ascii="Arial Narrow" w:hAnsi="Arial Narrow"/>
          <w:i/>
          <w:sz w:val="28"/>
          <w:szCs w:val="28"/>
          <w:lang w:val="es-ES"/>
        </w:rPr>
        <w:t>“abordar el reto demográfico es una cuestión que demanda compromiso y colaboración, porque a todos nos afecta</w:t>
      </w:r>
      <w:r>
        <w:rPr>
          <w:rFonts w:ascii="Arial Narrow" w:hAnsi="Arial Narrow"/>
          <w:i/>
          <w:sz w:val="28"/>
          <w:szCs w:val="28"/>
          <w:lang w:val="es-ES"/>
        </w:rPr>
        <w:t>”.</w:t>
      </w:r>
      <w:r w:rsidRPr="00C7791A">
        <w:rPr>
          <w:rFonts w:ascii="Arial Narrow" w:hAnsi="Arial Narrow"/>
          <w:i/>
          <w:sz w:val="28"/>
          <w:szCs w:val="28"/>
          <w:lang w:val="es-ES"/>
        </w:rPr>
        <w:t xml:space="preserve"> </w:t>
      </w:r>
    </w:p>
    <w:p w:rsidR="007622D1" w:rsidRDefault="007622D1" w:rsidP="007622D1">
      <w:pPr>
        <w:pStyle w:val="Piedepgina"/>
        <w:ind w:left="2127"/>
        <w:jc w:val="both"/>
        <w:rPr>
          <w:rFonts w:ascii="Arial Narrow" w:hAnsi="Arial Narrow"/>
          <w:sz w:val="28"/>
          <w:szCs w:val="28"/>
          <w:lang w:val="es-ES"/>
        </w:rPr>
      </w:pPr>
    </w:p>
    <w:p w:rsidR="007622D1" w:rsidRPr="001028F0" w:rsidRDefault="007622D1" w:rsidP="007622D1">
      <w:pPr>
        <w:pStyle w:val="Piedepgina"/>
        <w:ind w:left="2127"/>
        <w:jc w:val="both"/>
        <w:rPr>
          <w:rFonts w:ascii="Arial Narrow" w:hAnsi="Arial Narrow"/>
          <w:i/>
          <w:sz w:val="28"/>
          <w:szCs w:val="28"/>
          <w:lang w:val="es-ES"/>
        </w:rPr>
      </w:pPr>
      <w:r>
        <w:rPr>
          <w:rFonts w:ascii="Arial Narrow" w:hAnsi="Arial Narrow"/>
          <w:sz w:val="28"/>
          <w:szCs w:val="28"/>
          <w:lang w:val="es-ES"/>
        </w:rPr>
        <w:t>Edelmira Barreira, que ha comparecido en la Comisión Constitucional del Congreso, ha afirmado que la</w:t>
      </w:r>
      <w:r w:rsidRPr="001028F0">
        <w:rPr>
          <w:rFonts w:ascii="Arial Narrow" w:hAnsi="Arial Narrow"/>
          <w:sz w:val="28"/>
          <w:szCs w:val="28"/>
          <w:lang w:val="es-ES"/>
        </w:rPr>
        <w:t xml:space="preserve"> Estrategia Nacional </w:t>
      </w:r>
      <w:r w:rsidRPr="001028F0">
        <w:rPr>
          <w:rFonts w:ascii="Arial Narrow" w:hAnsi="Arial Narrow"/>
          <w:i/>
          <w:sz w:val="28"/>
          <w:szCs w:val="28"/>
          <w:lang w:val="es-ES"/>
        </w:rPr>
        <w:t>“debe partir de un planteamiento global</w:t>
      </w:r>
      <w:r>
        <w:rPr>
          <w:rFonts w:ascii="Arial Narrow" w:hAnsi="Arial Narrow"/>
          <w:i/>
          <w:sz w:val="28"/>
          <w:szCs w:val="28"/>
          <w:lang w:val="es-ES"/>
        </w:rPr>
        <w:t>,</w:t>
      </w:r>
      <w:r w:rsidRPr="001028F0">
        <w:rPr>
          <w:rFonts w:ascii="Arial Narrow" w:hAnsi="Arial Narrow"/>
          <w:i/>
          <w:sz w:val="28"/>
          <w:szCs w:val="28"/>
          <w:lang w:val="es-ES"/>
        </w:rPr>
        <w:t xml:space="preserve"> transversal y de futuro para paliar la problemática de envejecimiento, despoblación y desequilibrios demográficos, con el compromiso de trabajar juntos para gestionar el cambio, atender sus causas y sus consecuencias”.</w:t>
      </w:r>
    </w:p>
    <w:p w:rsidR="007622D1" w:rsidRDefault="007622D1" w:rsidP="007622D1">
      <w:pPr>
        <w:pStyle w:val="Piedepgina"/>
        <w:ind w:left="2127"/>
        <w:jc w:val="both"/>
        <w:rPr>
          <w:rFonts w:ascii="Arial Narrow" w:hAnsi="Arial Narrow"/>
          <w:i/>
          <w:sz w:val="2"/>
          <w:szCs w:val="2"/>
        </w:rPr>
      </w:pPr>
    </w:p>
    <w:p w:rsidR="007622D1" w:rsidRDefault="007622D1" w:rsidP="007622D1">
      <w:pPr>
        <w:pStyle w:val="Piedepgina"/>
        <w:ind w:left="2127"/>
        <w:jc w:val="both"/>
        <w:rPr>
          <w:rFonts w:ascii="Arial Narrow" w:hAnsi="Arial Narrow"/>
          <w:i/>
          <w:sz w:val="2"/>
          <w:szCs w:val="2"/>
        </w:rPr>
      </w:pPr>
    </w:p>
    <w:p w:rsidR="007622D1" w:rsidRDefault="007622D1" w:rsidP="007622D1">
      <w:pPr>
        <w:pStyle w:val="Piedepgina"/>
        <w:ind w:left="2127"/>
        <w:jc w:val="both"/>
        <w:rPr>
          <w:rFonts w:ascii="Arial Narrow" w:hAnsi="Arial Narrow"/>
          <w:i/>
          <w:sz w:val="2"/>
          <w:szCs w:val="2"/>
        </w:rPr>
      </w:pPr>
    </w:p>
    <w:p w:rsidR="007622D1" w:rsidRDefault="007622D1" w:rsidP="007622D1">
      <w:pPr>
        <w:pStyle w:val="Piedepgina"/>
        <w:ind w:left="2127"/>
        <w:jc w:val="both"/>
        <w:rPr>
          <w:rFonts w:ascii="Arial Narrow" w:hAnsi="Arial Narrow"/>
          <w:i/>
          <w:sz w:val="2"/>
          <w:szCs w:val="2"/>
        </w:rPr>
      </w:pPr>
    </w:p>
    <w:p w:rsidR="007622D1" w:rsidRDefault="007622D1" w:rsidP="007622D1">
      <w:pPr>
        <w:pStyle w:val="Piedepgina"/>
        <w:ind w:left="2127"/>
        <w:jc w:val="both"/>
        <w:rPr>
          <w:rFonts w:ascii="Arial Narrow" w:hAnsi="Arial Narrow"/>
          <w:i/>
          <w:sz w:val="2"/>
          <w:szCs w:val="2"/>
        </w:rPr>
      </w:pPr>
    </w:p>
    <w:p w:rsidR="007622D1" w:rsidRDefault="007622D1" w:rsidP="007622D1">
      <w:pPr>
        <w:pStyle w:val="Piedepgina"/>
        <w:ind w:left="2127"/>
        <w:jc w:val="both"/>
        <w:rPr>
          <w:rFonts w:ascii="Arial Narrow" w:hAnsi="Arial Narrow"/>
          <w:i/>
          <w:sz w:val="2"/>
          <w:szCs w:val="2"/>
        </w:rPr>
      </w:pPr>
    </w:p>
    <w:p w:rsidR="007622D1" w:rsidRDefault="007622D1" w:rsidP="007622D1">
      <w:pPr>
        <w:pStyle w:val="Piedepgina"/>
        <w:ind w:left="2127"/>
        <w:jc w:val="both"/>
        <w:rPr>
          <w:rFonts w:ascii="Arial Narrow" w:hAnsi="Arial Narrow"/>
          <w:i/>
          <w:sz w:val="2"/>
          <w:szCs w:val="2"/>
        </w:rPr>
      </w:pPr>
    </w:p>
    <w:p w:rsidR="007622D1" w:rsidRDefault="007622D1" w:rsidP="007622D1">
      <w:pPr>
        <w:pStyle w:val="Piedepgina"/>
        <w:ind w:left="2127"/>
        <w:jc w:val="both"/>
        <w:rPr>
          <w:rFonts w:ascii="Arial Narrow" w:hAnsi="Arial Narrow"/>
          <w:i/>
          <w:sz w:val="2"/>
          <w:szCs w:val="2"/>
        </w:rPr>
      </w:pPr>
    </w:p>
    <w:p w:rsidR="007622D1" w:rsidRDefault="007622D1" w:rsidP="007622D1">
      <w:pPr>
        <w:pStyle w:val="Piedepgina"/>
        <w:ind w:left="2127"/>
        <w:jc w:val="both"/>
        <w:rPr>
          <w:rFonts w:ascii="Arial Narrow" w:hAnsi="Arial Narrow"/>
          <w:i/>
          <w:sz w:val="2"/>
          <w:szCs w:val="2"/>
        </w:rPr>
      </w:pPr>
    </w:p>
    <w:p w:rsidR="007622D1" w:rsidRDefault="007622D1" w:rsidP="007622D1">
      <w:pPr>
        <w:pStyle w:val="Piedepgina"/>
        <w:ind w:left="2127"/>
        <w:jc w:val="both"/>
        <w:rPr>
          <w:rFonts w:ascii="Arial Narrow" w:hAnsi="Arial Narrow"/>
          <w:i/>
          <w:sz w:val="2"/>
          <w:szCs w:val="2"/>
        </w:rPr>
      </w:pPr>
    </w:p>
    <w:p w:rsidR="007622D1" w:rsidRDefault="007622D1" w:rsidP="007622D1">
      <w:pPr>
        <w:pStyle w:val="Piedepgina"/>
        <w:ind w:left="2127"/>
        <w:jc w:val="both"/>
        <w:rPr>
          <w:rFonts w:ascii="Arial Narrow" w:hAnsi="Arial Narrow"/>
          <w:i/>
          <w:sz w:val="2"/>
          <w:szCs w:val="2"/>
        </w:rPr>
      </w:pPr>
    </w:p>
    <w:p w:rsidR="007622D1" w:rsidRPr="0041594A" w:rsidRDefault="007622D1" w:rsidP="007622D1">
      <w:pPr>
        <w:pStyle w:val="Piedepgina"/>
        <w:ind w:left="2127"/>
        <w:jc w:val="both"/>
        <w:rPr>
          <w:rFonts w:ascii="Arial Narrow" w:hAnsi="Arial Narrow"/>
          <w:i/>
          <w:sz w:val="2"/>
          <w:szCs w:val="2"/>
        </w:rPr>
      </w:pPr>
    </w:p>
    <w:p w:rsidR="007622D1" w:rsidRDefault="007622D1" w:rsidP="007622D1">
      <w:pPr>
        <w:pStyle w:val="Piedepgina"/>
        <w:ind w:left="2127"/>
        <w:jc w:val="both"/>
        <w:rPr>
          <w:rFonts w:ascii="Arial Narrow" w:hAnsi="Arial Narrow"/>
          <w:sz w:val="28"/>
          <w:szCs w:val="28"/>
        </w:rPr>
      </w:pPr>
      <w:r>
        <w:rPr>
          <w:rFonts w:ascii="Arial Narrow" w:hAnsi="Arial Narrow"/>
          <w:sz w:val="28"/>
          <w:szCs w:val="28"/>
        </w:rPr>
        <w:t>La comisionada</w:t>
      </w:r>
      <w:r w:rsidRPr="001028F0">
        <w:rPr>
          <w:rFonts w:ascii="Arial Narrow" w:hAnsi="Arial Narrow"/>
          <w:sz w:val="28"/>
          <w:szCs w:val="28"/>
        </w:rPr>
        <w:t xml:space="preserve"> </w:t>
      </w:r>
      <w:r>
        <w:rPr>
          <w:rFonts w:ascii="Arial Narrow" w:hAnsi="Arial Narrow"/>
          <w:sz w:val="28"/>
          <w:szCs w:val="28"/>
        </w:rPr>
        <w:t>ha recordado que el cambio demográfico afecta a nuestro país y a los países de nuestro entorno, y ha expuesto la situación a día de hoy, las proyecciones demográficas para el futuro, si continúan las tendencias actuales, y los aspectos en los que deben trabajar conjuntamente todas las Administraciones Públicas.</w:t>
      </w:r>
    </w:p>
    <w:p w:rsidR="007622D1" w:rsidRDefault="007622D1" w:rsidP="007622D1">
      <w:pPr>
        <w:pStyle w:val="Piedepgina"/>
        <w:ind w:left="2127"/>
        <w:jc w:val="both"/>
        <w:rPr>
          <w:rFonts w:ascii="Arial Narrow" w:hAnsi="Arial Narrow"/>
          <w:sz w:val="28"/>
          <w:szCs w:val="28"/>
        </w:rPr>
      </w:pPr>
    </w:p>
    <w:p w:rsidR="007622D1" w:rsidRPr="00B328D8" w:rsidRDefault="007622D1" w:rsidP="007622D1">
      <w:pPr>
        <w:pStyle w:val="Piedepgina"/>
        <w:ind w:left="2127"/>
        <w:jc w:val="both"/>
        <w:rPr>
          <w:rFonts w:ascii="Arial Narrow" w:hAnsi="Arial Narrow"/>
          <w:b/>
          <w:sz w:val="28"/>
          <w:szCs w:val="28"/>
          <w:u w:val="single"/>
        </w:rPr>
      </w:pPr>
      <w:r>
        <w:rPr>
          <w:rFonts w:ascii="Arial Narrow" w:hAnsi="Arial Narrow"/>
          <w:b/>
          <w:sz w:val="28"/>
          <w:szCs w:val="28"/>
          <w:u w:val="single"/>
        </w:rPr>
        <w:t>Envejecimiento progresivo de la población</w:t>
      </w:r>
    </w:p>
    <w:p w:rsidR="007622D1" w:rsidRDefault="007622D1" w:rsidP="007622D1">
      <w:pPr>
        <w:pStyle w:val="Piedepgina"/>
        <w:ind w:left="2127"/>
        <w:jc w:val="both"/>
        <w:rPr>
          <w:rFonts w:ascii="Arial Narrow" w:hAnsi="Arial Narrow"/>
          <w:sz w:val="2"/>
          <w:szCs w:val="2"/>
        </w:rPr>
      </w:pPr>
    </w:p>
    <w:p w:rsidR="007622D1" w:rsidRDefault="007622D1" w:rsidP="007622D1">
      <w:pPr>
        <w:pStyle w:val="Piedepgina"/>
        <w:ind w:left="2127"/>
        <w:jc w:val="both"/>
        <w:rPr>
          <w:rFonts w:ascii="Arial Narrow" w:hAnsi="Arial Narrow"/>
          <w:sz w:val="2"/>
          <w:szCs w:val="2"/>
        </w:rPr>
      </w:pPr>
    </w:p>
    <w:p w:rsidR="007622D1" w:rsidRDefault="007622D1" w:rsidP="007622D1">
      <w:pPr>
        <w:pStyle w:val="Piedepgina"/>
        <w:ind w:left="2127"/>
        <w:jc w:val="both"/>
        <w:rPr>
          <w:rFonts w:ascii="Arial Narrow" w:hAnsi="Arial Narrow"/>
          <w:sz w:val="2"/>
          <w:szCs w:val="2"/>
        </w:rPr>
      </w:pPr>
    </w:p>
    <w:p w:rsidR="007622D1" w:rsidRDefault="007622D1" w:rsidP="007622D1">
      <w:pPr>
        <w:pStyle w:val="Piedepgina"/>
        <w:ind w:left="2127"/>
        <w:jc w:val="both"/>
        <w:rPr>
          <w:rFonts w:ascii="Arial Narrow" w:hAnsi="Arial Narrow"/>
          <w:sz w:val="2"/>
          <w:szCs w:val="2"/>
        </w:rPr>
      </w:pPr>
    </w:p>
    <w:p w:rsidR="007622D1" w:rsidRDefault="007622D1" w:rsidP="007622D1">
      <w:pPr>
        <w:pStyle w:val="Piedepgina"/>
        <w:ind w:left="2127"/>
        <w:jc w:val="both"/>
        <w:rPr>
          <w:rFonts w:ascii="Arial Narrow" w:hAnsi="Arial Narrow"/>
          <w:sz w:val="2"/>
          <w:szCs w:val="2"/>
        </w:rPr>
      </w:pPr>
    </w:p>
    <w:p w:rsidR="007622D1" w:rsidRDefault="007622D1" w:rsidP="007622D1">
      <w:pPr>
        <w:pStyle w:val="Piedepgina"/>
        <w:ind w:left="2127"/>
        <w:jc w:val="both"/>
        <w:rPr>
          <w:rFonts w:ascii="Arial Narrow" w:hAnsi="Arial Narrow"/>
          <w:sz w:val="2"/>
          <w:szCs w:val="2"/>
        </w:rPr>
      </w:pPr>
    </w:p>
    <w:p w:rsidR="007622D1" w:rsidRDefault="007622D1" w:rsidP="007622D1">
      <w:pPr>
        <w:pStyle w:val="Piedepgina"/>
        <w:ind w:left="2127"/>
        <w:jc w:val="both"/>
        <w:rPr>
          <w:rFonts w:ascii="Arial Narrow" w:hAnsi="Arial Narrow"/>
          <w:sz w:val="2"/>
          <w:szCs w:val="2"/>
        </w:rPr>
      </w:pPr>
    </w:p>
    <w:p w:rsidR="007622D1" w:rsidRDefault="007622D1" w:rsidP="007622D1">
      <w:pPr>
        <w:pStyle w:val="Piedepgina"/>
        <w:ind w:left="2127"/>
        <w:jc w:val="both"/>
        <w:rPr>
          <w:rFonts w:ascii="Arial Narrow" w:hAnsi="Arial Narrow"/>
          <w:sz w:val="2"/>
          <w:szCs w:val="2"/>
        </w:rPr>
      </w:pPr>
    </w:p>
    <w:p w:rsidR="007622D1" w:rsidRPr="007622D1" w:rsidRDefault="007622D1" w:rsidP="007622D1">
      <w:pPr>
        <w:pStyle w:val="Piedepgina"/>
        <w:ind w:left="2127"/>
        <w:jc w:val="both"/>
        <w:rPr>
          <w:rFonts w:ascii="Arial Narrow" w:hAnsi="Arial Narrow"/>
          <w:sz w:val="2"/>
          <w:szCs w:val="2"/>
        </w:rPr>
      </w:pPr>
    </w:p>
    <w:p w:rsidR="007622D1" w:rsidRDefault="007622D1" w:rsidP="007622D1">
      <w:pPr>
        <w:pStyle w:val="Piedepgina"/>
        <w:ind w:left="2127"/>
        <w:jc w:val="both"/>
        <w:rPr>
          <w:rFonts w:ascii="Arial Narrow" w:hAnsi="Arial Narrow"/>
          <w:sz w:val="28"/>
          <w:szCs w:val="28"/>
        </w:rPr>
      </w:pPr>
      <w:r>
        <w:rPr>
          <w:rFonts w:ascii="Arial Narrow" w:hAnsi="Arial Narrow"/>
          <w:sz w:val="28"/>
          <w:szCs w:val="28"/>
        </w:rPr>
        <w:t>Edelmira Barreira ha repasado la situación actual, partiendo de un primer factor, el envejecimiento, por el incremento de la proporción de persona que superan los 65 años, como tendencia generalizada, común en nuestro entorno. A día de hoy, se acerca al 19% el número de personas con 65 o más años, y es de prever que esa proporción avance, a medida que se incorporen a estratos superaciones de la pirámide</w:t>
      </w:r>
      <w:r w:rsidRPr="00AA692F">
        <w:rPr>
          <w:rFonts w:ascii="Arial Narrow" w:hAnsi="Arial Narrow"/>
          <w:sz w:val="28"/>
          <w:szCs w:val="28"/>
        </w:rPr>
        <w:t xml:space="preserve"> </w:t>
      </w:r>
      <w:r>
        <w:rPr>
          <w:rFonts w:ascii="Arial Narrow" w:hAnsi="Arial Narrow"/>
          <w:sz w:val="28"/>
          <w:szCs w:val="28"/>
        </w:rPr>
        <w:t>generaciones llenas, y sería más relativo a más largo plazo.</w:t>
      </w:r>
    </w:p>
    <w:p w:rsidR="007622D1" w:rsidRDefault="007622D1" w:rsidP="007622D1">
      <w:pPr>
        <w:pStyle w:val="Piedepgina"/>
        <w:ind w:left="2127"/>
        <w:jc w:val="both"/>
        <w:rPr>
          <w:rFonts w:ascii="Arial Narrow" w:hAnsi="Arial Narrow"/>
          <w:sz w:val="28"/>
          <w:szCs w:val="28"/>
        </w:rPr>
      </w:pPr>
      <w:r>
        <w:rPr>
          <w:rFonts w:ascii="Arial Narrow" w:hAnsi="Arial Narrow"/>
          <w:sz w:val="28"/>
          <w:szCs w:val="28"/>
        </w:rPr>
        <w:lastRenderedPageBreak/>
        <w:t>Ha señalado que este factor debe ser considerado junto con el avance de la longevidad. La esperanza de vida ha crecido hasta superar los 82 años, entre las más altas del mundo, y la tendencia es que –afortunadamente- siga aumentando. Según la proyección del INE, en medio siglo se situaría en los 90 años (88,5 años para los hombres y 91,6 años para las mujeres).</w:t>
      </w:r>
    </w:p>
    <w:p w:rsidR="007622D1" w:rsidRDefault="007622D1" w:rsidP="007622D1">
      <w:pPr>
        <w:pStyle w:val="Piedepgina"/>
        <w:ind w:left="2127"/>
        <w:jc w:val="both"/>
        <w:rPr>
          <w:rFonts w:ascii="Arial Narrow" w:hAnsi="Arial Narrow"/>
          <w:sz w:val="28"/>
          <w:szCs w:val="28"/>
        </w:rPr>
      </w:pPr>
    </w:p>
    <w:p w:rsidR="007622D1" w:rsidRDefault="007622D1" w:rsidP="007622D1">
      <w:pPr>
        <w:pStyle w:val="Piedepgina"/>
        <w:ind w:left="2127"/>
        <w:jc w:val="both"/>
        <w:rPr>
          <w:rFonts w:ascii="Arial Narrow" w:hAnsi="Arial Narrow"/>
          <w:sz w:val="28"/>
          <w:szCs w:val="28"/>
        </w:rPr>
      </w:pPr>
      <w:r>
        <w:rPr>
          <w:rFonts w:ascii="Arial Narrow" w:hAnsi="Arial Narrow"/>
          <w:sz w:val="28"/>
          <w:szCs w:val="28"/>
        </w:rPr>
        <w:t>De esta forma se produciría un importante incremento de las personas con más de 80, 90 e incluso 100 años. Las personas con más 80 años hoy son el 6% de la población. En 15 años, las proyecciones indican que representaría el 8% (3,6 millones) y en 50 años alcanzaría el 18% (7,4 millones).</w:t>
      </w:r>
    </w:p>
    <w:p w:rsidR="007622D1" w:rsidRDefault="007622D1" w:rsidP="007622D1">
      <w:pPr>
        <w:pStyle w:val="Piedepgina"/>
        <w:ind w:left="2127"/>
        <w:jc w:val="both"/>
        <w:rPr>
          <w:rFonts w:ascii="Arial Narrow" w:hAnsi="Arial Narrow"/>
          <w:sz w:val="28"/>
          <w:szCs w:val="28"/>
        </w:rPr>
      </w:pPr>
    </w:p>
    <w:p w:rsidR="007622D1" w:rsidRPr="00B67FE2" w:rsidRDefault="007622D1" w:rsidP="007622D1">
      <w:pPr>
        <w:pStyle w:val="Piedepgina"/>
        <w:ind w:left="2127"/>
        <w:jc w:val="both"/>
        <w:rPr>
          <w:rFonts w:ascii="Arial Narrow" w:hAnsi="Arial Narrow"/>
          <w:b/>
          <w:sz w:val="28"/>
          <w:szCs w:val="28"/>
          <w:u w:val="single"/>
        </w:rPr>
      </w:pPr>
      <w:r w:rsidRPr="00B67FE2">
        <w:rPr>
          <w:rFonts w:ascii="Arial Narrow" w:hAnsi="Arial Narrow"/>
          <w:b/>
          <w:sz w:val="28"/>
          <w:szCs w:val="28"/>
          <w:u w:val="single"/>
        </w:rPr>
        <w:t>Baja natalidad</w:t>
      </w:r>
    </w:p>
    <w:p w:rsidR="007622D1" w:rsidRDefault="007622D1" w:rsidP="007622D1">
      <w:pPr>
        <w:ind w:left="2127"/>
        <w:jc w:val="both"/>
        <w:rPr>
          <w:rFonts w:ascii="Arial Narrow" w:hAnsi="Arial Narrow"/>
          <w:sz w:val="28"/>
          <w:szCs w:val="28"/>
        </w:rPr>
      </w:pPr>
    </w:p>
    <w:p w:rsidR="007622D1" w:rsidRDefault="007622D1" w:rsidP="007622D1">
      <w:pPr>
        <w:ind w:left="2127"/>
        <w:jc w:val="both"/>
        <w:rPr>
          <w:rFonts w:ascii="Arial Narrow" w:hAnsi="Arial Narrow"/>
          <w:sz w:val="28"/>
          <w:szCs w:val="28"/>
        </w:rPr>
      </w:pPr>
      <w:r>
        <w:rPr>
          <w:rFonts w:ascii="Arial Narrow" w:hAnsi="Arial Narrow"/>
          <w:sz w:val="28"/>
          <w:szCs w:val="28"/>
        </w:rPr>
        <w:t xml:space="preserve">La Comisionada ha referido, también la baja natalidad que registra España, con 1,33 hijos por mujer, entre las más </w:t>
      </w:r>
      <w:proofErr w:type="spellStart"/>
      <w:r>
        <w:rPr>
          <w:rFonts w:ascii="Arial Narrow" w:hAnsi="Arial Narrow"/>
          <w:sz w:val="28"/>
          <w:szCs w:val="28"/>
        </w:rPr>
        <w:t>más</w:t>
      </w:r>
      <w:proofErr w:type="spellEnd"/>
      <w:r>
        <w:rPr>
          <w:rFonts w:ascii="Arial Narrow" w:hAnsi="Arial Narrow"/>
          <w:sz w:val="28"/>
          <w:szCs w:val="28"/>
        </w:rPr>
        <w:t xml:space="preserve"> bajas de la Unión Europea. Y ha hablado de la trascendencia del progresivo retraso de la edad de maternidad –actualmente 30,68 años para la primera maternidad- y la disminución de la población femenina en edad fértil. </w:t>
      </w:r>
    </w:p>
    <w:p w:rsidR="007622D1" w:rsidRDefault="007622D1" w:rsidP="007622D1">
      <w:pPr>
        <w:ind w:left="2127"/>
        <w:jc w:val="both"/>
        <w:rPr>
          <w:rFonts w:ascii="Arial Narrow" w:hAnsi="Arial Narrow"/>
          <w:sz w:val="28"/>
          <w:szCs w:val="28"/>
        </w:rPr>
      </w:pPr>
    </w:p>
    <w:p w:rsidR="007622D1" w:rsidRDefault="007622D1" w:rsidP="007622D1">
      <w:pPr>
        <w:ind w:left="2127"/>
        <w:jc w:val="both"/>
        <w:rPr>
          <w:rFonts w:ascii="Arial Narrow" w:hAnsi="Arial Narrow"/>
          <w:sz w:val="28"/>
          <w:szCs w:val="28"/>
        </w:rPr>
      </w:pPr>
      <w:r>
        <w:rPr>
          <w:rFonts w:ascii="Arial Narrow" w:hAnsi="Arial Narrow"/>
          <w:sz w:val="28"/>
          <w:szCs w:val="28"/>
        </w:rPr>
        <w:t xml:space="preserve">Estas circunstancias influyen en el cambio en la estructura de edades de la pirámide poblacional, con menor proporción de población activa, y, a su vez, en el crecimiento vegetativo. Por primera vez en 2015 el número de defunciones superó al número de nacimientos. Y, con la tendencia actual, los saldos vegetativos negativos se mantendrían, con cada vez mayor incidencia en los próximos años, mientras no se verían compensados con el saldo migratorio, a pesar de las proyecciones positivas en este sentido. La Comisionada se ha referido también a cómo en algunas regiones se viene percibiendo esta tendencia con una especial incidencia, de forma que en 2015 fueron 10 las Comunidades Autónomas que registraron saldos vegetativos negativos. </w:t>
      </w:r>
    </w:p>
    <w:p w:rsidR="007622D1" w:rsidRDefault="007622D1" w:rsidP="007622D1">
      <w:pPr>
        <w:ind w:left="2127"/>
        <w:jc w:val="both"/>
        <w:rPr>
          <w:rFonts w:ascii="Arial Narrow" w:hAnsi="Arial Narrow"/>
          <w:sz w:val="28"/>
          <w:szCs w:val="28"/>
        </w:rPr>
      </w:pPr>
    </w:p>
    <w:p w:rsidR="007622D1" w:rsidRDefault="007622D1" w:rsidP="007622D1">
      <w:pPr>
        <w:ind w:left="2127"/>
        <w:jc w:val="both"/>
        <w:rPr>
          <w:rFonts w:ascii="Arial Narrow" w:hAnsi="Arial Narrow"/>
          <w:sz w:val="28"/>
          <w:szCs w:val="28"/>
        </w:rPr>
      </w:pPr>
      <w:r>
        <w:rPr>
          <w:rFonts w:ascii="Arial Narrow" w:hAnsi="Arial Narrow"/>
          <w:sz w:val="28"/>
          <w:szCs w:val="28"/>
        </w:rPr>
        <w:t xml:space="preserve">Estos factores condicionarían el tamaño de la población y su evolución en el futuro. Así, el INE calcula que, en los próximos 15 años España perdería medio millón de habitantes y, en 50 años, más de cinco millones. </w:t>
      </w:r>
    </w:p>
    <w:p w:rsidR="007622D1" w:rsidRDefault="007622D1" w:rsidP="007622D1">
      <w:pPr>
        <w:ind w:left="2127"/>
        <w:jc w:val="both"/>
        <w:rPr>
          <w:rFonts w:ascii="Arial Narrow" w:hAnsi="Arial Narrow"/>
          <w:sz w:val="28"/>
          <w:szCs w:val="28"/>
        </w:rPr>
      </w:pPr>
    </w:p>
    <w:p w:rsidR="007622D1" w:rsidRDefault="007622D1" w:rsidP="007622D1">
      <w:pPr>
        <w:ind w:left="2127"/>
        <w:jc w:val="both"/>
        <w:rPr>
          <w:rFonts w:ascii="Arial Narrow" w:hAnsi="Arial Narrow"/>
          <w:sz w:val="28"/>
          <w:szCs w:val="28"/>
        </w:rPr>
      </w:pPr>
      <w:r>
        <w:rPr>
          <w:rFonts w:ascii="Arial Narrow" w:hAnsi="Arial Narrow"/>
          <w:sz w:val="28"/>
          <w:szCs w:val="28"/>
        </w:rPr>
        <w:t xml:space="preserve">La comisionada ha señalado que, además, en algunas zonas se perciben ya de forma muy clara estos efectos y se vienen registrando preocupantes dinámicas de despoblación. Y advirtió especialmente de la situación de municipios y pueblos que van perdiendo población, de forma que los Ayuntamientos españoles con menos de 1.000 habitantes alcanza el 61% (hace un año eran el 60%) y alrededor de 1.300 no pasan de 100 empadronados. </w:t>
      </w:r>
    </w:p>
    <w:p w:rsidR="007622D1" w:rsidRDefault="007622D1" w:rsidP="007622D1">
      <w:pPr>
        <w:ind w:left="2127"/>
        <w:jc w:val="both"/>
        <w:rPr>
          <w:rFonts w:ascii="Arial Narrow" w:hAnsi="Arial Narrow"/>
          <w:sz w:val="28"/>
          <w:szCs w:val="28"/>
        </w:rPr>
      </w:pPr>
    </w:p>
    <w:p w:rsidR="007622D1" w:rsidRDefault="007622D1" w:rsidP="007622D1">
      <w:pPr>
        <w:ind w:left="2127"/>
        <w:jc w:val="both"/>
        <w:rPr>
          <w:rFonts w:ascii="Arial Narrow" w:hAnsi="Arial Narrow"/>
          <w:b/>
          <w:sz w:val="28"/>
          <w:szCs w:val="28"/>
          <w:u w:val="single"/>
        </w:rPr>
      </w:pPr>
    </w:p>
    <w:p w:rsidR="007622D1" w:rsidRDefault="007622D1" w:rsidP="007622D1">
      <w:pPr>
        <w:ind w:left="2127"/>
        <w:jc w:val="both"/>
        <w:rPr>
          <w:rFonts w:ascii="Arial Narrow" w:hAnsi="Arial Narrow"/>
          <w:b/>
          <w:sz w:val="28"/>
          <w:szCs w:val="28"/>
          <w:u w:val="single"/>
        </w:rPr>
      </w:pPr>
      <w:r w:rsidRPr="0049373B">
        <w:rPr>
          <w:rFonts w:ascii="Arial Narrow" w:hAnsi="Arial Narrow"/>
          <w:b/>
          <w:sz w:val="28"/>
          <w:szCs w:val="28"/>
          <w:u w:val="single"/>
        </w:rPr>
        <w:lastRenderedPageBreak/>
        <w:t xml:space="preserve">Líneas de trabajo </w:t>
      </w:r>
    </w:p>
    <w:p w:rsidR="007622D1" w:rsidRDefault="007622D1" w:rsidP="007622D1">
      <w:pPr>
        <w:ind w:left="2127"/>
        <w:jc w:val="both"/>
        <w:rPr>
          <w:rFonts w:ascii="Arial Narrow" w:hAnsi="Arial Narrow"/>
          <w:b/>
          <w:sz w:val="28"/>
          <w:szCs w:val="28"/>
        </w:rPr>
      </w:pPr>
    </w:p>
    <w:p w:rsidR="007622D1" w:rsidRDefault="007622D1" w:rsidP="007622D1">
      <w:pPr>
        <w:ind w:left="2127"/>
        <w:jc w:val="both"/>
        <w:rPr>
          <w:rFonts w:ascii="Arial Narrow" w:hAnsi="Arial Narrow"/>
          <w:sz w:val="28"/>
          <w:szCs w:val="28"/>
        </w:rPr>
      </w:pPr>
      <w:r w:rsidRPr="0082796B">
        <w:rPr>
          <w:rFonts w:ascii="Arial Narrow" w:hAnsi="Arial Narrow"/>
          <w:sz w:val="28"/>
          <w:szCs w:val="28"/>
        </w:rPr>
        <w:t xml:space="preserve">La comisionada ha insistido en la necesaria colaboración de todas las Administraciones Públicas para afrontar la situación, </w:t>
      </w:r>
      <w:r>
        <w:rPr>
          <w:rFonts w:ascii="Arial Narrow" w:hAnsi="Arial Narrow"/>
          <w:sz w:val="28"/>
          <w:szCs w:val="28"/>
        </w:rPr>
        <w:t>partiendo de la importancia de s</w:t>
      </w:r>
      <w:r w:rsidRPr="001A0CF7">
        <w:rPr>
          <w:rFonts w:ascii="Arial Narrow" w:hAnsi="Arial Narrow"/>
          <w:sz w:val="28"/>
          <w:szCs w:val="28"/>
        </w:rPr>
        <w:t xml:space="preserve">eguir favoreciendo </w:t>
      </w:r>
      <w:r>
        <w:rPr>
          <w:rFonts w:ascii="Arial Narrow" w:hAnsi="Arial Narrow"/>
          <w:sz w:val="28"/>
          <w:szCs w:val="28"/>
        </w:rPr>
        <w:t>el</w:t>
      </w:r>
      <w:r w:rsidRPr="001A0CF7">
        <w:rPr>
          <w:rFonts w:ascii="Arial Narrow" w:hAnsi="Arial Narrow"/>
          <w:sz w:val="28"/>
          <w:szCs w:val="28"/>
        </w:rPr>
        <w:t xml:space="preserve"> crecimiento sólido, como base para man</w:t>
      </w:r>
      <w:r>
        <w:rPr>
          <w:rFonts w:ascii="Arial Narrow" w:hAnsi="Arial Narrow"/>
          <w:sz w:val="28"/>
          <w:szCs w:val="28"/>
        </w:rPr>
        <w:t xml:space="preserve">tener los sistemas de bienestar, y la creación de empleo, atendiendo especialmente a </w:t>
      </w:r>
      <w:r w:rsidRPr="001A0CF7">
        <w:rPr>
          <w:rFonts w:ascii="Arial Narrow" w:hAnsi="Arial Narrow"/>
          <w:sz w:val="28"/>
          <w:szCs w:val="28"/>
        </w:rPr>
        <w:t>las oportunidades de los jóvenes, la perspect</w:t>
      </w:r>
      <w:r>
        <w:rPr>
          <w:rFonts w:ascii="Arial Narrow" w:hAnsi="Arial Narrow"/>
          <w:sz w:val="28"/>
          <w:szCs w:val="28"/>
        </w:rPr>
        <w:t>iva de igualdad de género y</w:t>
      </w:r>
      <w:r w:rsidRPr="001A0CF7">
        <w:rPr>
          <w:rFonts w:ascii="Arial Narrow" w:hAnsi="Arial Narrow"/>
          <w:sz w:val="28"/>
          <w:szCs w:val="28"/>
        </w:rPr>
        <w:t xml:space="preserve"> los trabajadores de mayor edad</w:t>
      </w:r>
      <w:r>
        <w:rPr>
          <w:rFonts w:ascii="Arial Narrow" w:hAnsi="Arial Narrow"/>
          <w:sz w:val="28"/>
          <w:szCs w:val="28"/>
        </w:rPr>
        <w:t xml:space="preserve">. </w:t>
      </w:r>
    </w:p>
    <w:p w:rsidR="007622D1" w:rsidRDefault="007622D1" w:rsidP="007622D1">
      <w:pPr>
        <w:ind w:left="2127"/>
        <w:jc w:val="both"/>
        <w:rPr>
          <w:rFonts w:ascii="Arial Narrow" w:hAnsi="Arial Narrow"/>
          <w:sz w:val="28"/>
          <w:szCs w:val="28"/>
        </w:rPr>
      </w:pPr>
    </w:p>
    <w:p w:rsidR="007622D1" w:rsidRDefault="007622D1" w:rsidP="007622D1">
      <w:pPr>
        <w:ind w:left="2127"/>
        <w:jc w:val="both"/>
        <w:rPr>
          <w:rFonts w:ascii="Arial Narrow" w:hAnsi="Arial Narrow"/>
          <w:sz w:val="28"/>
          <w:szCs w:val="28"/>
        </w:rPr>
      </w:pPr>
      <w:r>
        <w:rPr>
          <w:rFonts w:ascii="Arial Narrow" w:hAnsi="Arial Narrow"/>
          <w:sz w:val="28"/>
          <w:szCs w:val="28"/>
        </w:rPr>
        <w:t xml:space="preserve">Ha señalado la necesidad de adaptarnos al cambio demográfico y afrontarlo con decisión, teniendo en cuenta a las </w:t>
      </w:r>
      <w:r w:rsidRPr="001A0CF7">
        <w:rPr>
          <w:rFonts w:ascii="Arial Narrow" w:hAnsi="Arial Narrow"/>
          <w:sz w:val="28"/>
          <w:szCs w:val="28"/>
        </w:rPr>
        <w:t xml:space="preserve">necesidades de una población </w:t>
      </w:r>
      <w:r>
        <w:rPr>
          <w:rFonts w:ascii="Arial Narrow" w:hAnsi="Arial Narrow"/>
          <w:sz w:val="28"/>
          <w:szCs w:val="28"/>
        </w:rPr>
        <w:t>con</w:t>
      </w:r>
      <w:r w:rsidRPr="001A0CF7">
        <w:rPr>
          <w:rFonts w:ascii="Arial Narrow" w:hAnsi="Arial Narrow"/>
          <w:sz w:val="28"/>
          <w:szCs w:val="28"/>
        </w:rPr>
        <w:t xml:space="preserve"> ciudadanos de </w:t>
      </w:r>
      <w:r>
        <w:rPr>
          <w:rFonts w:ascii="Arial Narrow" w:hAnsi="Arial Narrow"/>
          <w:sz w:val="28"/>
          <w:szCs w:val="28"/>
        </w:rPr>
        <w:t xml:space="preserve">más </w:t>
      </w:r>
      <w:r w:rsidRPr="001A0CF7">
        <w:rPr>
          <w:rFonts w:ascii="Arial Narrow" w:hAnsi="Arial Narrow"/>
          <w:sz w:val="28"/>
          <w:szCs w:val="28"/>
        </w:rPr>
        <w:t xml:space="preserve">edad, pero </w:t>
      </w:r>
      <w:r>
        <w:rPr>
          <w:rFonts w:ascii="Arial Narrow" w:hAnsi="Arial Narrow"/>
          <w:sz w:val="28"/>
          <w:szCs w:val="28"/>
        </w:rPr>
        <w:t>sin olvidar</w:t>
      </w:r>
      <w:r w:rsidRPr="001A0CF7">
        <w:rPr>
          <w:rFonts w:ascii="Arial Narrow" w:hAnsi="Arial Narrow"/>
          <w:sz w:val="28"/>
          <w:szCs w:val="28"/>
        </w:rPr>
        <w:t xml:space="preserve"> la perspectiva de </w:t>
      </w:r>
      <w:r>
        <w:rPr>
          <w:rFonts w:ascii="Arial Narrow" w:hAnsi="Arial Narrow"/>
          <w:sz w:val="28"/>
          <w:szCs w:val="28"/>
        </w:rPr>
        <w:t xml:space="preserve">la </w:t>
      </w:r>
      <w:r w:rsidRPr="001A0CF7">
        <w:rPr>
          <w:rFonts w:ascii="Arial Narrow" w:hAnsi="Arial Narrow"/>
          <w:sz w:val="28"/>
          <w:szCs w:val="28"/>
        </w:rPr>
        <w:t>renovación demográfica</w:t>
      </w:r>
      <w:r>
        <w:rPr>
          <w:rFonts w:ascii="Arial Narrow" w:hAnsi="Arial Narrow"/>
          <w:sz w:val="28"/>
          <w:szCs w:val="28"/>
        </w:rPr>
        <w:t xml:space="preserve"> y la preocupación por los problemas de despoblación. </w:t>
      </w:r>
    </w:p>
    <w:p w:rsidR="007622D1" w:rsidRDefault="007622D1" w:rsidP="007622D1">
      <w:pPr>
        <w:ind w:left="2127"/>
        <w:jc w:val="both"/>
        <w:rPr>
          <w:rFonts w:ascii="Arial Narrow" w:hAnsi="Arial Narrow"/>
          <w:sz w:val="28"/>
          <w:szCs w:val="28"/>
        </w:rPr>
      </w:pPr>
    </w:p>
    <w:p w:rsidR="007622D1" w:rsidRDefault="007622D1" w:rsidP="007622D1">
      <w:pPr>
        <w:ind w:left="2127"/>
        <w:jc w:val="both"/>
        <w:rPr>
          <w:rFonts w:ascii="Arial Narrow" w:hAnsi="Arial Narrow"/>
          <w:sz w:val="28"/>
          <w:szCs w:val="28"/>
        </w:rPr>
      </w:pPr>
      <w:r>
        <w:rPr>
          <w:rFonts w:ascii="Arial Narrow" w:hAnsi="Arial Narrow"/>
          <w:sz w:val="28"/>
          <w:szCs w:val="28"/>
        </w:rPr>
        <w:t>Con la colaboración de las distintas AAPP, ha recordado, se ha constituido un Grupo de Trabajo, con representación del Gobierno, todas las CCAA y la FEMP, que ha comenzado a trabajar para abordar distintos aspectos.</w:t>
      </w:r>
    </w:p>
    <w:p w:rsidR="007622D1" w:rsidRDefault="007622D1" w:rsidP="007622D1">
      <w:pPr>
        <w:ind w:left="2127"/>
        <w:jc w:val="both"/>
        <w:rPr>
          <w:rFonts w:ascii="Arial Narrow" w:hAnsi="Arial Narrow"/>
          <w:sz w:val="28"/>
          <w:szCs w:val="28"/>
        </w:rPr>
      </w:pPr>
    </w:p>
    <w:p w:rsidR="007622D1" w:rsidRDefault="007622D1" w:rsidP="007622D1">
      <w:pPr>
        <w:ind w:left="2127"/>
        <w:jc w:val="both"/>
        <w:rPr>
          <w:rFonts w:ascii="Arial Narrow" w:hAnsi="Arial Narrow"/>
          <w:sz w:val="28"/>
          <w:szCs w:val="28"/>
        </w:rPr>
      </w:pPr>
      <w:r>
        <w:rPr>
          <w:rFonts w:ascii="Arial Narrow" w:hAnsi="Arial Narrow"/>
          <w:sz w:val="28"/>
          <w:szCs w:val="28"/>
        </w:rPr>
        <w:t xml:space="preserve">Entre ellos se sitúa la necesidad de atender al proceso de envejecimiento y la creciente longevidad, apostando por el envejecimiento saludable y activo. Teniendo en cuenta las necesidades de las personas mayores, en los ámbitos de sanidad, asistencia de larga duración, servicios; tanto como su plena participación en todos los ámbitos sociales, favoreciendo la solidaridad </w:t>
      </w:r>
      <w:proofErr w:type="spellStart"/>
      <w:r>
        <w:rPr>
          <w:rFonts w:ascii="Arial Narrow" w:hAnsi="Arial Narrow"/>
          <w:sz w:val="28"/>
          <w:szCs w:val="28"/>
        </w:rPr>
        <w:t>intergeneracional</w:t>
      </w:r>
      <w:proofErr w:type="spellEnd"/>
      <w:r>
        <w:rPr>
          <w:rFonts w:ascii="Arial Narrow" w:hAnsi="Arial Narrow"/>
          <w:sz w:val="28"/>
          <w:szCs w:val="28"/>
        </w:rPr>
        <w:t xml:space="preserve"> y facilitando la participación voluntaria en el mercado laboral, cuando sea su deseo. </w:t>
      </w:r>
    </w:p>
    <w:p w:rsidR="007622D1" w:rsidRPr="0021785B" w:rsidRDefault="007622D1" w:rsidP="007622D1">
      <w:pPr>
        <w:pStyle w:val="Prrafodelista"/>
        <w:rPr>
          <w:rFonts w:ascii="Arial Narrow" w:hAnsi="Arial Narrow"/>
          <w:sz w:val="28"/>
          <w:szCs w:val="28"/>
        </w:rPr>
      </w:pPr>
    </w:p>
    <w:p w:rsidR="007622D1" w:rsidRDefault="007622D1" w:rsidP="007622D1">
      <w:pPr>
        <w:ind w:left="2127"/>
        <w:jc w:val="both"/>
        <w:rPr>
          <w:rFonts w:ascii="Arial Narrow" w:hAnsi="Arial Narrow"/>
          <w:sz w:val="28"/>
          <w:szCs w:val="28"/>
        </w:rPr>
      </w:pPr>
      <w:r>
        <w:rPr>
          <w:rFonts w:ascii="Arial Narrow" w:hAnsi="Arial Narrow"/>
          <w:sz w:val="28"/>
          <w:szCs w:val="28"/>
        </w:rPr>
        <w:t>Del mismo modo, ha señalado la conveniencia de s</w:t>
      </w:r>
      <w:r w:rsidRPr="0021785B">
        <w:rPr>
          <w:rFonts w:ascii="Arial Narrow" w:hAnsi="Arial Narrow"/>
          <w:sz w:val="28"/>
          <w:szCs w:val="28"/>
        </w:rPr>
        <w:t xml:space="preserve">eguir trabajando en la generación de empleo, </w:t>
      </w:r>
      <w:r>
        <w:rPr>
          <w:rFonts w:ascii="Arial Narrow" w:hAnsi="Arial Narrow"/>
          <w:sz w:val="28"/>
          <w:szCs w:val="28"/>
        </w:rPr>
        <w:t xml:space="preserve">y muy </w:t>
      </w:r>
      <w:r w:rsidRPr="0021785B">
        <w:rPr>
          <w:rFonts w:ascii="Arial Narrow" w:hAnsi="Arial Narrow"/>
          <w:sz w:val="28"/>
          <w:szCs w:val="28"/>
        </w:rPr>
        <w:t>especialmente</w:t>
      </w:r>
      <w:r>
        <w:rPr>
          <w:rFonts w:ascii="Arial Narrow" w:hAnsi="Arial Narrow"/>
          <w:sz w:val="28"/>
          <w:szCs w:val="28"/>
        </w:rPr>
        <w:t xml:space="preserve"> en la retención y atracción del </w:t>
      </w:r>
      <w:r w:rsidRPr="0021785B">
        <w:rPr>
          <w:rFonts w:ascii="Arial Narrow" w:hAnsi="Arial Narrow"/>
          <w:sz w:val="28"/>
          <w:szCs w:val="28"/>
        </w:rPr>
        <w:t xml:space="preserve">talento </w:t>
      </w:r>
      <w:r>
        <w:rPr>
          <w:rFonts w:ascii="Arial Narrow" w:hAnsi="Arial Narrow"/>
          <w:sz w:val="28"/>
          <w:szCs w:val="28"/>
        </w:rPr>
        <w:t>necesario en una sociedad de estas car</w:t>
      </w:r>
      <w:r w:rsidRPr="0021785B">
        <w:rPr>
          <w:rFonts w:ascii="Arial Narrow" w:hAnsi="Arial Narrow"/>
          <w:sz w:val="28"/>
          <w:szCs w:val="28"/>
        </w:rPr>
        <w:t>acterísticas</w:t>
      </w:r>
      <w:r>
        <w:rPr>
          <w:rFonts w:ascii="Arial Narrow" w:hAnsi="Arial Narrow"/>
          <w:sz w:val="28"/>
          <w:szCs w:val="28"/>
        </w:rPr>
        <w:t>, sin olvidar la conveniencia de atender a las políticas de integración de inmigrantes, así como la formación y capacitación permanente que permita la adaptación a los cambios que definen nuestros tiempos.</w:t>
      </w:r>
    </w:p>
    <w:p w:rsidR="007622D1" w:rsidRDefault="007622D1" w:rsidP="007622D1">
      <w:pPr>
        <w:ind w:left="2127"/>
        <w:jc w:val="both"/>
        <w:rPr>
          <w:rFonts w:ascii="Arial Narrow" w:hAnsi="Arial Narrow"/>
          <w:sz w:val="28"/>
          <w:szCs w:val="28"/>
        </w:rPr>
      </w:pPr>
    </w:p>
    <w:p w:rsidR="007622D1" w:rsidRDefault="007622D1" w:rsidP="007622D1">
      <w:pPr>
        <w:ind w:left="2127"/>
        <w:jc w:val="both"/>
        <w:rPr>
          <w:rFonts w:ascii="Arial Narrow" w:hAnsi="Arial Narrow"/>
          <w:sz w:val="28"/>
          <w:szCs w:val="28"/>
        </w:rPr>
      </w:pPr>
      <w:r>
        <w:rPr>
          <w:rFonts w:ascii="Arial Narrow" w:hAnsi="Arial Narrow"/>
          <w:sz w:val="28"/>
          <w:szCs w:val="28"/>
        </w:rPr>
        <w:t>Destacó, así, muy especialmente, la importancia de los jóvenes, de forma que puedan contar con más oportunidades, desde todos los puntos de vista –muy especialmente, empleo y vivienda-, para desarrollar su proyecto de vida y configurar las familias del futuro.</w:t>
      </w:r>
    </w:p>
    <w:p w:rsidR="007622D1" w:rsidRDefault="007622D1" w:rsidP="007622D1">
      <w:pPr>
        <w:ind w:left="2127"/>
        <w:jc w:val="both"/>
        <w:rPr>
          <w:rFonts w:ascii="Arial Narrow" w:hAnsi="Arial Narrow"/>
          <w:sz w:val="28"/>
          <w:szCs w:val="28"/>
        </w:rPr>
      </w:pPr>
    </w:p>
    <w:p w:rsidR="007622D1" w:rsidRPr="0021785B" w:rsidRDefault="007622D1" w:rsidP="007622D1">
      <w:pPr>
        <w:ind w:left="2127"/>
        <w:jc w:val="both"/>
        <w:rPr>
          <w:rFonts w:ascii="Arial Narrow" w:hAnsi="Arial Narrow"/>
          <w:sz w:val="28"/>
          <w:szCs w:val="28"/>
        </w:rPr>
      </w:pPr>
      <w:r>
        <w:rPr>
          <w:rFonts w:ascii="Arial Narrow" w:hAnsi="Arial Narrow"/>
          <w:sz w:val="28"/>
          <w:szCs w:val="28"/>
        </w:rPr>
        <w:t xml:space="preserve">En este sentido, también señaló la importancia de prestar una especial atención al apoyo a las familias, y de generar las condiciones favorables para que los españoles puedan tener los hijos que desean. Señalando los estudios y referencias europeas, planteó la conveniencia de reconocer a las familias su importante aporte a la sociedad y trabajar por la conciliación de la vida laboral personal, laboral y </w:t>
      </w:r>
      <w:r>
        <w:rPr>
          <w:rFonts w:ascii="Arial Narrow" w:hAnsi="Arial Narrow"/>
          <w:sz w:val="28"/>
          <w:szCs w:val="28"/>
        </w:rPr>
        <w:lastRenderedPageBreak/>
        <w:t xml:space="preserve">familiar y también de la corresponsabilidad. Ha recordado, en este sentido, los trabajos que se están desarrollando en la Mesa de diálogo social por el empleo de calidad, para avanzar en la conciliación y la racionalización de horarios.  </w:t>
      </w:r>
    </w:p>
    <w:p w:rsidR="007622D1" w:rsidRDefault="007622D1" w:rsidP="007622D1">
      <w:pPr>
        <w:jc w:val="both"/>
        <w:rPr>
          <w:rFonts w:ascii="Arial Narrow" w:hAnsi="Arial Narrow"/>
          <w:sz w:val="28"/>
          <w:szCs w:val="28"/>
        </w:rPr>
      </w:pPr>
    </w:p>
    <w:p w:rsidR="007622D1" w:rsidRDefault="007622D1" w:rsidP="007622D1">
      <w:pPr>
        <w:ind w:left="2127"/>
        <w:jc w:val="both"/>
        <w:rPr>
          <w:rFonts w:ascii="Arial Narrow" w:hAnsi="Arial Narrow"/>
          <w:sz w:val="28"/>
          <w:szCs w:val="28"/>
        </w:rPr>
      </w:pPr>
      <w:r>
        <w:rPr>
          <w:rFonts w:ascii="Arial Narrow" w:hAnsi="Arial Narrow"/>
          <w:sz w:val="28"/>
          <w:szCs w:val="28"/>
        </w:rPr>
        <w:t>Junto con ello, se ha referido a la preocupación por la situación en las zonas con un envejecimiento pronunciado y, en especial, con pérdidas de población, y la necesidad de actuar con la colaboración de todas las Administraciones, desde sus respectivos ámbitos competenciales, junto con la Unión Europea, para favorecer el acceso a los servicios y mejorar las oportunidades para estimular la permanencia de la población, impulsando las posibilidades de desarrollo, emprendimiento y empleo.</w:t>
      </w:r>
    </w:p>
    <w:p w:rsidR="007622D1" w:rsidRPr="003E43CA" w:rsidRDefault="007622D1" w:rsidP="007622D1">
      <w:pPr>
        <w:pStyle w:val="Prrafodelista"/>
        <w:rPr>
          <w:rFonts w:ascii="Arial Narrow" w:hAnsi="Arial Narrow"/>
          <w:sz w:val="28"/>
          <w:szCs w:val="28"/>
        </w:rPr>
      </w:pPr>
    </w:p>
    <w:p w:rsidR="007622D1" w:rsidRPr="00251401" w:rsidRDefault="007622D1" w:rsidP="007622D1">
      <w:pPr>
        <w:ind w:left="2127"/>
        <w:jc w:val="both"/>
        <w:rPr>
          <w:i/>
          <w:sz w:val="30"/>
          <w:szCs w:val="30"/>
        </w:rPr>
      </w:pPr>
      <w:r w:rsidRPr="00251401">
        <w:rPr>
          <w:rFonts w:ascii="Arial Narrow" w:hAnsi="Arial Narrow"/>
          <w:sz w:val="28"/>
          <w:szCs w:val="28"/>
        </w:rPr>
        <w:t xml:space="preserve">Edelmira Barreira </w:t>
      </w:r>
      <w:r>
        <w:rPr>
          <w:rFonts w:ascii="Arial Narrow" w:hAnsi="Arial Narrow"/>
          <w:sz w:val="28"/>
          <w:szCs w:val="28"/>
        </w:rPr>
        <w:t>ha concluido su intervención</w:t>
      </w:r>
      <w:r w:rsidRPr="00251401">
        <w:rPr>
          <w:rFonts w:ascii="Arial Narrow" w:hAnsi="Arial Narrow"/>
          <w:sz w:val="28"/>
          <w:szCs w:val="28"/>
        </w:rPr>
        <w:t xml:space="preserve"> señalando que hay que afrontar </w:t>
      </w:r>
      <w:r>
        <w:rPr>
          <w:rFonts w:ascii="Arial Narrow" w:hAnsi="Arial Narrow"/>
          <w:sz w:val="28"/>
          <w:szCs w:val="28"/>
        </w:rPr>
        <w:t>la</w:t>
      </w:r>
      <w:r w:rsidRPr="00251401">
        <w:rPr>
          <w:rFonts w:ascii="Arial Narrow" w:hAnsi="Arial Narrow"/>
          <w:sz w:val="28"/>
          <w:szCs w:val="28"/>
        </w:rPr>
        <w:t xml:space="preserve"> evolución demográfica</w:t>
      </w:r>
      <w:r>
        <w:rPr>
          <w:rFonts w:ascii="Arial Narrow" w:hAnsi="Arial Narrow"/>
          <w:sz w:val="28"/>
          <w:szCs w:val="28"/>
        </w:rPr>
        <w:t>,</w:t>
      </w:r>
      <w:r w:rsidRPr="00251401">
        <w:rPr>
          <w:rFonts w:ascii="Arial Narrow" w:hAnsi="Arial Narrow"/>
          <w:sz w:val="28"/>
          <w:szCs w:val="28"/>
        </w:rPr>
        <w:t xml:space="preserve"> con diferentes manifestaciones, consecuencias y efectos,</w:t>
      </w:r>
      <w:r w:rsidRPr="00251401">
        <w:rPr>
          <w:rFonts w:ascii="Arial Narrow" w:hAnsi="Arial Narrow"/>
          <w:i/>
          <w:sz w:val="28"/>
          <w:szCs w:val="28"/>
        </w:rPr>
        <w:t xml:space="preserve"> </w:t>
      </w:r>
      <w:r>
        <w:rPr>
          <w:rFonts w:ascii="Arial Narrow" w:hAnsi="Arial Narrow"/>
          <w:i/>
          <w:sz w:val="28"/>
          <w:szCs w:val="28"/>
        </w:rPr>
        <w:t>“</w:t>
      </w:r>
      <w:r w:rsidRPr="00251401">
        <w:rPr>
          <w:rFonts w:ascii="Arial Narrow" w:hAnsi="Arial Narrow"/>
          <w:i/>
          <w:sz w:val="28"/>
          <w:szCs w:val="28"/>
        </w:rPr>
        <w:t>por eso es preciso apelar a una misma voluntad, para convertir este reto en una oportunidad para seguir trabajando por el crecimiento, el bienestar social y la igualdad de oportunidades</w:t>
      </w:r>
      <w:r>
        <w:rPr>
          <w:rFonts w:ascii="Arial Narrow" w:hAnsi="Arial Narrow"/>
          <w:i/>
          <w:sz w:val="28"/>
          <w:szCs w:val="28"/>
        </w:rPr>
        <w:t xml:space="preserve"> de todos los españoles”</w:t>
      </w:r>
      <w:r w:rsidRPr="00251401">
        <w:rPr>
          <w:rFonts w:ascii="Arial Narrow" w:hAnsi="Arial Narrow"/>
          <w:i/>
          <w:sz w:val="28"/>
          <w:szCs w:val="28"/>
        </w:rPr>
        <w:t>.</w:t>
      </w:r>
      <w:r w:rsidRPr="00251401">
        <w:rPr>
          <w:i/>
          <w:sz w:val="30"/>
          <w:szCs w:val="30"/>
        </w:rPr>
        <w:t xml:space="preserve"> </w:t>
      </w:r>
    </w:p>
    <w:p w:rsidR="00D9583F" w:rsidRPr="007622D1" w:rsidRDefault="00D9583F" w:rsidP="007622D1">
      <w:pPr>
        <w:pStyle w:val="Piedepgina"/>
        <w:ind w:left="2127"/>
        <w:rPr>
          <w:i/>
          <w:sz w:val="30"/>
          <w:szCs w:val="30"/>
          <w:lang w:val="es-ES"/>
        </w:rPr>
      </w:pPr>
    </w:p>
    <w:p w:rsidR="00D9583F" w:rsidRPr="003E43CA" w:rsidRDefault="00D9583F" w:rsidP="003E43CA">
      <w:pPr>
        <w:ind w:left="2127"/>
        <w:jc w:val="both"/>
        <w:rPr>
          <w:rFonts w:ascii="Arial Narrow" w:hAnsi="Arial Narrow"/>
          <w:sz w:val="28"/>
          <w:szCs w:val="28"/>
        </w:rPr>
      </w:pPr>
    </w:p>
    <w:sectPr w:rsidR="00D9583F" w:rsidRPr="003E43CA" w:rsidSect="000E2470">
      <w:headerReference w:type="default" r:id="rId8"/>
      <w:footerReference w:type="even" r:id="rId9"/>
      <w:footerReference w:type="default" r:id="rId10"/>
      <w:headerReference w:type="first" r:id="rId11"/>
      <w:footerReference w:type="first" r:id="rId12"/>
      <w:type w:val="continuous"/>
      <w:pgSz w:w="11906" w:h="16838" w:code="9"/>
      <w:pgMar w:top="238" w:right="849" w:bottom="1701" w:left="346" w:header="284" w:footer="352"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199" w:rsidRDefault="00511199">
      <w:r>
        <w:separator/>
      </w:r>
    </w:p>
  </w:endnote>
  <w:endnote w:type="continuationSeparator" w:id="0">
    <w:p w:rsidR="00511199" w:rsidRDefault="005111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9" w:rsidRDefault="000149C9">
    <w:pPr>
      <w:pStyle w:val="Piedepgina"/>
      <w:framePr w:wrap="around" w:vAnchor="text" w:hAnchor="margin" w:xAlign="center" w:y="1"/>
      <w:rPr>
        <w:rStyle w:val="Nmerodepgina"/>
      </w:rPr>
    </w:pPr>
    <w:r>
      <w:rPr>
        <w:rStyle w:val="Nmerodepgina"/>
      </w:rPr>
      <w:fldChar w:fldCharType="begin"/>
    </w:r>
    <w:r w:rsidR="006F0529">
      <w:rPr>
        <w:rStyle w:val="Nmerodepgina"/>
      </w:rPr>
      <w:instrText xml:space="preserve">PAGE  </w:instrText>
    </w:r>
    <w:r>
      <w:rPr>
        <w:rStyle w:val="Nmerodepgina"/>
      </w:rPr>
      <w:fldChar w:fldCharType="end"/>
    </w:r>
  </w:p>
  <w:p w:rsidR="006F0529" w:rsidRDefault="006F05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378"/>
      <w:gridCol w:w="160"/>
    </w:tblGrid>
    <w:tr w:rsidR="006F0529" w:rsidTr="009A382B">
      <w:trPr>
        <w:cantSplit/>
        <w:trHeight w:val="120"/>
      </w:trPr>
      <w:tc>
        <w:tcPr>
          <w:tcW w:w="2551" w:type="dxa"/>
          <w:tcBorders>
            <w:top w:val="nil"/>
            <w:left w:val="nil"/>
            <w:bottom w:val="nil"/>
            <w:right w:val="nil"/>
          </w:tcBorders>
          <w:vAlign w:val="center"/>
        </w:tcPr>
        <w:p w:rsidR="006F0529" w:rsidRPr="009A382B" w:rsidRDefault="006F0529">
          <w:pPr>
            <w:pStyle w:val="Encabezado"/>
            <w:tabs>
              <w:tab w:val="clear" w:pos="4252"/>
              <w:tab w:val="clear" w:pos="8504"/>
            </w:tabs>
            <w:rPr>
              <w:rFonts w:ascii="Gill Sans MT" w:hAnsi="Gill Sans MT"/>
              <w:sz w:val="10"/>
              <w:bdr w:val="single" w:sz="4" w:space="0" w:color="auto"/>
            </w:rPr>
          </w:pPr>
        </w:p>
        <w:p w:rsidR="006F0529" w:rsidRDefault="006F0529">
          <w:pPr>
            <w:spacing w:line="180" w:lineRule="atLeast"/>
            <w:rPr>
              <w:rFonts w:ascii="Arial Narrow" w:hAnsi="Arial Narrow"/>
              <w:sz w:val="10"/>
            </w:rPr>
          </w:pPr>
        </w:p>
      </w:tc>
      <w:tc>
        <w:tcPr>
          <w:tcW w:w="9378" w:type="dxa"/>
          <w:tcBorders>
            <w:top w:val="nil"/>
            <w:left w:val="nil"/>
            <w:bottom w:val="nil"/>
            <w:right w:val="nil"/>
          </w:tcBorders>
        </w:tcPr>
        <w:p w:rsidR="006F0529" w:rsidRDefault="009A382B" w:rsidP="009A382B">
          <w:pPr>
            <w:rPr>
              <w:sz w:val="18"/>
            </w:rPr>
          </w:pPr>
          <w:r>
            <w:rPr>
              <w:rFonts w:ascii="Arial Narrow" w:hAnsi="Arial Narrow"/>
              <w:sz w:val="18"/>
            </w:rPr>
            <w:t xml:space="preserve">  </w:t>
          </w:r>
          <w:r w:rsidR="006F0529">
            <w:rPr>
              <w:rFonts w:ascii="Arial Narrow" w:hAnsi="Arial Narrow"/>
              <w:sz w:val="18"/>
            </w:rPr>
            <w:t>Esta información puede ser usada en parte o en su integridad sin necesidad de citar fuentes</w:t>
          </w:r>
        </w:p>
      </w:tc>
      <w:tc>
        <w:tcPr>
          <w:tcW w:w="160" w:type="dxa"/>
          <w:vMerge w:val="restart"/>
          <w:tcBorders>
            <w:top w:val="nil"/>
            <w:left w:val="single" w:sz="4" w:space="0" w:color="auto"/>
            <w:bottom w:val="nil"/>
            <w:right w:val="nil"/>
          </w:tcBorders>
        </w:tcPr>
        <w:p w:rsidR="006F0529" w:rsidRDefault="006F0529">
          <w:pPr>
            <w:spacing w:after="120"/>
            <w:ind w:left="74"/>
          </w:pPr>
        </w:p>
      </w:tc>
    </w:tr>
    <w:tr w:rsidR="006F0529" w:rsidTr="009A382B">
      <w:trPr>
        <w:cantSplit/>
        <w:trHeight w:val="120"/>
      </w:trPr>
      <w:tc>
        <w:tcPr>
          <w:tcW w:w="2551" w:type="dxa"/>
          <w:tcBorders>
            <w:top w:val="nil"/>
            <w:left w:val="nil"/>
            <w:bottom w:val="nil"/>
            <w:right w:val="nil"/>
          </w:tcBorders>
        </w:tcPr>
        <w:p w:rsidR="006F0529" w:rsidRDefault="006F0529">
          <w:pPr>
            <w:spacing w:line="240" w:lineRule="atLeast"/>
            <w:rPr>
              <w:sz w:val="20"/>
            </w:rPr>
          </w:pPr>
          <w:r>
            <w:rPr>
              <w:sz w:val="20"/>
            </w:rPr>
            <w:t xml:space="preserve">Página </w:t>
          </w:r>
          <w:r w:rsidR="000149C9">
            <w:rPr>
              <w:sz w:val="20"/>
            </w:rPr>
            <w:fldChar w:fldCharType="begin"/>
          </w:r>
          <w:r>
            <w:rPr>
              <w:sz w:val="20"/>
            </w:rPr>
            <w:instrText xml:space="preserve"> PAGE </w:instrText>
          </w:r>
          <w:r w:rsidR="000149C9">
            <w:rPr>
              <w:sz w:val="20"/>
            </w:rPr>
            <w:fldChar w:fldCharType="separate"/>
          </w:r>
          <w:r w:rsidR="007622D1">
            <w:rPr>
              <w:noProof/>
              <w:sz w:val="20"/>
            </w:rPr>
            <w:t>2</w:t>
          </w:r>
          <w:r w:rsidR="000149C9">
            <w:rPr>
              <w:sz w:val="20"/>
            </w:rPr>
            <w:fldChar w:fldCharType="end"/>
          </w:r>
          <w:r>
            <w:rPr>
              <w:sz w:val="20"/>
            </w:rPr>
            <w:t xml:space="preserve"> de </w:t>
          </w:r>
          <w:r w:rsidR="000149C9">
            <w:rPr>
              <w:sz w:val="20"/>
            </w:rPr>
            <w:fldChar w:fldCharType="begin"/>
          </w:r>
          <w:r>
            <w:rPr>
              <w:sz w:val="20"/>
            </w:rPr>
            <w:instrText xml:space="preserve"> NUMPAGES </w:instrText>
          </w:r>
          <w:r w:rsidR="000149C9">
            <w:rPr>
              <w:sz w:val="20"/>
            </w:rPr>
            <w:fldChar w:fldCharType="separate"/>
          </w:r>
          <w:r w:rsidR="007622D1">
            <w:rPr>
              <w:noProof/>
              <w:sz w:val="20"/>
            </w:rPr>
            <w:t>4</w:t>
          </w:r>
          <w:r w:rsidR="000149C9">
            <w:rPr>
              <w:sz w:val="20"/>
            </w:rPr>
            <w:fldChar w:fldCharType="end"/>
          </w:r>
        </w:p>
      </w:tc>
      <w:tc>
        <w:tcPr>
          <w:tcW w:w="9378" w:type="dxa"/>
          <w:tcBorders>
            <w:top w:val="nil"/>
            <w:left w:val="nil"/>
            <w:bottom w:val="nil"/>
            <w:right w:val="nil"/>
          </w:tcBorders>
        </w:tcPr>
        <w:p w:rsidR="006F0529" w:rsidRDefault="006F0529" w:rsidP="009A382B">
          <w:pPr>
            <w:shd w:val="clear" w:color="auto" w:fill="FFFFFF"/>
            <w:spacing w:beforeAutospacing="1" w:afterAutospacing="1"/>
            <w:rPr>
              <w:rFonts w:ascii="Arial Narrow" w:hAnsi="Arial Narrow"/>
              <w:b/>
              <w:bCs/>
              <w:sz w:val="22"/>
            </w:rPr>
          </w:pPr>
          <w:r w:rsidRPr="002A2626">
            <w:rPr>
              <w:rStyle w:val="Hipervnculo"/>
              <w:rFonts w:ascii="Arial Narrow" w:hAnsi="Arial Narrow"/>
              <w:b/>
              <w:szCs w:val="24"/>
              <w:u w:val="none"/>
            </w:rPr>
            <w:t xml:space="preserve">   </w:t>
          </w:r>
          <w:r>
            <w:rPr>
              <w:rStyle w:val="Hipervnculo"/>
              <w:rFonts w:ascii="Arial Narrow" w:hAnsi="Arial Narrow"/>
              <w:b/>
              <w:szCs w:val="24"/>
              <w:u w:val="none"/>
            </w:rPr>
            <w:t xml:space="preserve">              </w:t>
          </w:r>
          <w:r w:rsidR="00B81427">
            <w:rPr>
              <w:rStyle w:val="Hipervnculo"/>
              <w:rFonts w:ascii="Arial Narrow" w:hAnsi="Arial Narrow"/>
              <w:b/>
              <w:szCs w:val="24"/>
              <w:u w:val="none"/>
            </w:rPr>
            <w:t xml:space="preserve">    </w:t>
          </w:r>
          <w:hyperlink w:history="1">
            <w:r w:rsidR="009A382B" w:rsidRPr="00FC1EC0">
              <w:rPr>
                <w:rStyle w:val="Hipervnculo"/>
                <w:rFonts w:ascii="Arial Narrow" w:hAnsi="Arial Narrow"/>
                <w:b/>
                <w:szCs w:val="24"/>
              </w:rPr>
              <w:t>www.mpr.gob.es – www.seat.mpr.gob.es</w:t>
            </w:r>
          </w:hyperlink>
        </w:p>
      </w:tc>
      <w:tc>
        <w:tcPr>
          <w:tcW w:w="160" w:type="dxa"/>
          <w:vMerge/>
          <w:tcBorders>
            <w:left w:val="single" w:sz="4" w:space="0" w:color="auto"/>
            <w:bottom w:val="nil"/>
            <w:right w:val="nil"/>
          </w:tcBorders>
        </w:tcPr>
        <w:p w:rsidR="006F0529" w:rsidRDefault="006F0529"/>
      </w:tc>
    </w:tr>
  </w:tbl>
  <w:p w:rsidR="006F0529" w:rsidRDefault="006F0529">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8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8953"/>
      <w:gridCol w:w="1678"/>
    </w:tblGrid>
    <w:tr w:rsidR="006F0529" w:rsidTr="009A382B">
      <w:trPr>
        <w:cantSplit/>
        <w:trHeight w:val="120"/>
      </w:trPr>
      <w:tc>
        <w:tcPr>
          <w:tcW w:w="2551" w:type="dxa"/>
          <w:tcBorders>
            <w:top w:val="nil"/>
            <w:left w:val="nil"/>
            <w:bottom w:val="nil"/>
            <w:right w:val="nil"/>
          </w:tcBorders>
          <w:vAlign w:val="center"/>
        </w:tcPr>
        <w:p w:rsidR="006F0529" w:rsidRDefault="006F0529" w:rsidP="009A382B">
          <w:pPr>
            <w:pStyle w:val="Encabezado"/>
            <w:tabs>
              <w:tab w:val="clear" w:pos="4252"/>
              <w:tab w:val="clear" w:pos="8504"/>
            </w:tabs>
            <w:rPr>
              <w:rFonts w:ascii="Arial Narrow" w:hAnsi="Arial Narrow"/>
              <w:sz w:val="10"/>
            </w:rPr>
          </w:pPr>
        </w:p>
      </w:tc>
      <w:tc>
        <w:tcPr>
          <w:tcW w:w="8953" w:type="dxa"/>
          <w:tcBorders>
            <w:top w:val="nil"/>
            <w:left w:val="nil"/>
            <w:bottom w:val="nil"/>
            <w:right w:val="nil"/>
          </w:tcBorders>
        </w:tcPr>
        <w:p w:rsidR="006F0529" w:rsidRDefault="006F0529" w:rsidP="009A382B">
          <w:pPr>
            <w:jc w:val="center"/>
            <w:rPr>
              <w:rFonts w:ascii="Arial Narrow" w:hAnsi="Arial Narrow"/>
              <w:sz w:val="18"/>
            </w:rPr>
          </w:pPr>
        </w:p>
        <w:p w:rsidR="006F0529" w:rsidRDefault="006F0529" w:rsidP="009A382B">
          <w:pPr>
            <w:ind w:right="1205"/>
            <w:jc w:val="center"/>
            <w:rPr>
              <w:sz w:val="18"/>
            </w:rPr>
          </w:pPr>
          <w:r>
            <w:rPr>
              <w:rFonts w:ascii="Arial Narrow" w:hAnsi="Arial Narrow"/>
              <w:sz w:val="18"/>
            </w:rPr>
            <w:t>Esta información puede ser usada en parte o en su integridad sin necesidad de citar fuentes</w:t>
          </w:r>
        </w:p>
      </w:tc>
      <w:tc>
        <w:tcPr>
          <w:tcW w:w="1678" w:type="dxa"/>
          <w:vMerge w:val="restart"/>
          <w:tcBorders>
            <w:top w:val="nil"/>
            <w:left w:val="single" w:sz="4" w:space="0" w:color="auto"/>
            <w:bottom w:val="nil"/>
            <w:right w:val="nil"/>
          </w:tcBorders>
        </w:tcPr>
        <w:p w:rsidR="006F0529" w:rsidRDefault="006F0529">
          <w:pPr>
            <w:spacing w:after="120"/>
            <w:ind w:left="74"/>
          </w:pPr>
        </w:p>
      </w:tc>
    </w:tr>
    <w:tr w:rsidR="006F0529" w:rsidRPr="00563534" w:rsidTr="009A382B">
      <w:trPr>
        <w:cantSplit/>
        <w:trHeight w:val="120"/>
      </w:trPr>
      <w:tc>
        <w:tcPr>
          <w:tcW w:w="2551" w:type="dxa"/>
          <w:tcBorders>
            <w:top w:val="nil"/>
            <w:left w:val="nil"/>
            <w:bottom w:val="nil"/>
            <w:right w:val="nil"/>
          </w:tcBorders>
        </w:tcPr>
        <w:p w:rsidR="006F0529" w:rsidRDefault="006F0529">
          <w:pPr>
            <w:spacing w:line="240" w:lineRule="atLeast"/>
            <w:rPr>
              <w:sz w:val="20"/>
            </w:rPr>
          </w:pPr>
          <w:r>
            <w:rPr>
              <w:sz w:val="20"/>
            </w:rPr>
            <w:t xml:space="preserve">Página </w:t>
          </w:r>
          <w:r w:rsidR="000149C9">
            <w:rPr>
              <w:sz w:val="20"/>
            </w:rPr>
            <w:fldChar w:fldCharType="begin"/>
          </w:r>
          <w:r>
            <w:rPr>
              <w:sz w:val="20"/>
            </w:rPr>
            <w:instrText xml:space="preserve"> PAGE </w:instrText>
          </w:r>
          <w:r w:rsidR="000149C9">
            <w:rPr>
              <w:sz w:val="20"/>
            </w:rPr>
            <w:fldChar w:fldCharType="separate"/>
          </w:r>
          <w:r w:rsidR="007622D1">
            <w:rPr>
              <w:noProof/>
              <w:sz w:val="20"/>
            </w:rPr>
            <w:t>1</w:t>
          </w:r>
          <w:r w:rsidR="000149C9">
            <w:rPr>
              <w:sz w:val="20"/>
            </w:rPr>
            <w:fldChar w:fldCharType="end"/>
          </w:r>
          <w:r>
            <w:rPr>
              <w:sz w:val="20"/>
            </w:rPr>
            <w:t xml:space="preserve"> de </w:t>
          </w:r>
          <w:r w:rsidR="000149C9">
            <w:rPr>
              <w:sz w:val="20"/>
            </w:rPr>
            <w:fldChar w:fldCharType="begin"/>
          </w:r>
          <w:r>
            <w:rPr>
              <w:sz w:val="20"/>
            </w:rPr>
            <w:instrText xml:space="preserve"> NUMPAGES </w:instrText>
          </w:r>
          <w:r w:rsidR="000149C9">
            <w:rPr>
              <w:sz w:val="20"/>
            </w:rPr>
            <w:fldChar w:fldCharType="separate"/>
          </w:r>
          <w:r w:rsidR="007622D1">
            <w:rPr>
              <w:noProof/>
              <w:sz w:val="20"/>
            </w:rPr>
            <w:t>4</w:t>
          </w:r>
          <w:r w:rsidR="000149C9">
            <w:rPr>
              <w:sz w:val="20"/>
            </w:rPr>
            <w:fldChar w:fldCharType="end"/>
          </w:r>
        </w:p>
      </w:tc>
      <w:tc>
        <w:tcPr>
          <w:tcW w:w="8953" w:type="dxa"/>
          <w:tcBorders>
            <w:top w:val="nil"/>
            <w:left w:val="nil"/>
            <w:bottom w:val="nil"/>
            <w:right w:val="nil"/>
          </w:tcBorders>
        </w:tcPr>
        <w:p w:rsidR="006F0529" w:rsidRPr="00563534" w:rsidRDefault="009A382B" w:rsidP="009A382B">
          <w:pPr>
            <w:shd w:val="clear" w:color="auto" w:fill="FFFFFF"/>
            <w:spacing w:beforeAutospacing="1" w:afterAutospacing="1"/>
            <w:rPr>
              <w:rFonts w:ascii="Arial Narrow" w:hAnsi="Arial Narrow"/>
              <w:b/>
              <w:color w:val="0000FF"/>
              <w:sz w:val="22"/>
              <w:szCs w:val="22"/>
              <w:u w:val="single"/>
            </w:rPr>
          </w:pPr>
          <w:r>
            <w:rPr>
              <w:rFonts w:ascii="Arial Narrow" w:hAnsi="Arial Narrow"/>
              <w:b/>
              <w:szCs w:val="24"/>
            </w:rPr>
            <w:t xml:space="preserve">                              </w:t>
          </w:r>
          <w:hyperlink w:history="1">
            <w:r w:rsidRPr="00FC1EC0">
              <w:rPr>
                <w:rStyle w:val="Hipervnculo"/>
                <w:rFonts w:ascii="Arial Narrow" w:hAnsi="Arial Narrow"/>
                <w:b/>
                <w:szCs w:val="24"/>
              </w:rPr>
              <w:t>www.mpr.gob.es -  www.seat.mpr.gob.es</w:t>
            </w:r>
          </w:hyperlink>
        </w:p>
      </w:tc>
      <w:tc>
        <w:tcPr>
          <w:tcW w:w="1678" w:type="dxa"/>
          <w:vMerge/>
          <w:tcBorders>
            <w:left w:val="single" w:sz="4" w:space="0" w:color="auto"/>
            <w:bottom w:val="nil"/>
            <w:right w:val="nil"/>
          </w:tcBorders>
        </w:tcPr>
        <w:p w:rsidR="006F0529" w:rsidRPr="00563534" w:rsidRDefault="006F0529"/>
      </w:tc>
    </w:tr>
  </w:tbl>
  <w:p w:rsidR="006F0529" w:rsidRPr="00563534" w:rsidRDefault="006F0529" w:rsidP="009A382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199" w:rsidRDefault="00511199">
      <w:r>
        <w:separator/>
      </w:r>
    </w:p>
  </w:footnote>
  <w:footnote w:type="continuationSeparator" w:id="0">
    <w:p w:rsidR="00511199" w:rsidRDefault="00511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6F0529">
      <w:trPr>
        <w:gridAfter w:val="1"/>
        <w:wAfter w:w="3473" w:type="dxa"/>
        <w:cantSplit/>
        <w:trHeight w:val="543"/>
      </w:trPr>
      <w:tc>
        <w:tcPr>
          <w:tcW w:w="1346" w:type="dxa"/>
          <w:vMerge w:val="restart"/>
        </w:tcPr>
        <w:p w:rsidR="006F0529" w:rsidRDefault="006F0529">
          <w:pPr>
            <w:pStyle w:val="Encabezado"/>
            <w:tabs>
              <w:tab w:val="clear" w:pos="4252"/>
              <w:tab w:val="clear" w:pos="8504"/>
            </w:tabs>
          </w:pPr>
        </w:p>
      </w:tc>
      <w:tc>
        <w:tcPr>
          <w:tcW w:w="7584" w:type="dxa"/>
          <w:vMerge w:val="restart"/>
        </w:tcPr>
        <w:p w:rsidR="006F0529" w:rsidRDefault="006F0529" w:rsidP="006C0F7F">
          <w:pPr>
            <w:pStyle w:val="Encabezado"/>
            <w:tabs>
              <w:tab w:val="clear" w:pos="4252"/>
              <w:tab w:val="left" w:pos="2127"/>
              <w:tab w:val="left" w:pos="6521"/>
            </w:tabs>
          </w:pPr>
        </w:p>
      </w:tc>
    </w:tr>
    <w:tr w:rsidR="006F0529">
      <w:trPr>
        <w:cantSplit/>
        <w:trHeight w:val="40"/>
      </w:trPr>
      <w:tc>
        <w:tcPr>
          <w:tcW w:w="1346" w:type="dxa"/>
          <w:vMerge/>
        </w:tcPr>
        <w:p w:rsidR="006F0529" w:rsidRDefault="006F0529">
          <w:pPr>
            <w:pStyle w:val="Encabezado"/>
            <w:tabs>
              <w:tab w:val="clear" w:pos="4252"/>
              <w:tab w:val="left" w:pos="2127"/>
              <w:tab w:val="left" w:pos="6521"/>
            </w:tabs>
          </w:pPr>
        </w:p>
      </w:tc>
      <w:tc>
        <w:tcPr>
          <w:tcW w:w="7584" w:type="dxa"/>
          <w:vMerge/>
        </w:tcPr>
        <w:p w:rsidR="006F0529" w:rsidRDefault="006F0529">
          <w:pPr>
            <w:pStyle w:val="Encabezado"/>
            <w:tabs>
              <w:tab w:val="clear" w:pos="4252"/>
              <w:tab w:val="left" w:pos="2127"/>
              <w:tab w:val="left" w:pos="6521"/>
            </w:tabs>
          </w:pPr>
        </w:p>
      </w:tc>
      <w:tc>
        <w:tcPr>
          <w:tcW w:w="3473" w:type="dxa"/>
          <w:vAlign w:val="center"/>
        </w:tcPr>
        <w:p w:rsidR="006F0529" w:rsidRDefault="006F0529">
          <w:pPr>
            <w:pStyle w:val="Encabezado"/>
            <w:tabs>
              <w:tab w:val="clear" w:pos="4252"/>
              <w:tab w:val="left" w:pos="6521"/>
            </w:tabs>
            <w:spacing w:after="240"/>
            <w:ind w:right="1418"/>
            <w:rPr>
              <w:kern w:val="16"/>
            </w:rPr>
          </w:pPr>
        </w:p>
      </w:tc>
    </w:tr>
  </w:tbl>
  <w:p w:rsidR="006F0529" w:rsidRDefault="006F0529" w:rsidP="000253A7">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27" w:type="dxa"/>
      <w:tblInd w:w="354" w:type="dxa"/>
      <w:tblLayout w:type="fixed"/>
      <w:tblCellMar>
        <w:left w:w="70" w:type="dxa"/>
        <w:right w:w="70" w:type="dxa"/>
      </w:tblCellMar>
      <w:tblLook w:val="0000"/>
    </w:tblPr>
    <w:tblGrid>
      <w:gridCol w:w="1346"/>
      <w:gridCol w:w="6308"/>
      <w:gridCol w:w="3473"/>
    </w:tblGrid>
    <w:tr w:rsidR="006F0529" w:rsidTr="00D508FC">
      <w:trPr>
        <w:cantSplit/>
        <w:trHeight w:val="543"/>
      </w:trPr>
      <w:tc>
        <w:tcPr>
          <w:tcW w:w="1346" w:type="dxa"/>
          <w:vMerge w:val="restart"/>
        </w:tcPr>
        <w:bookmarkStart w:id="0" w:name="_MON_1030352108"/>
        <w:bookmarkEnd w:id="0"/>
        <w:p w:rsidR="006F0529" w:rsidRDefault="006F0529">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45pt" o:ole="" fillcolor="window">
                <v:imagedata r:id="rId1" o:title=""/>
              </v:shape>
              <o:OLEObject Type="Embed" ProgID="Word.Picture.8" ShapeID="_x0000_i1025" DrawAspect="Content" ObjectID="_1556029832" r:id="rId2"/>
            </w:object>
          </w:r>
        </w:p>
      </w:tc>
      <w:tc>
        <w:tcPr>
          <w:tcW w:w="6308" w:type="dxa"/>
          <w:vMerge w:val="restart"/>
        </w:tcPr>
        <w:p w:rsidR="006F0529" w:rsidRDefault="006F0529">
          <w:pPr>
            <w:spacing w:before="360"/>
            <w:rPr>
              <w:rFonts w:ascii="Garamond" w:hAnsi="Garamond"/>
              <w:sz w:val="22"/>
            </w:rPr>
          </w:pPr>
          <w:r>
            <w:rPr>
              <w:rFonts w:ascii="Gill Sans MT" w:hAnsi="Gill Sans MT"/>
              <w:sz w:val="22"/>
            </w:rPr>
            <w:t xml:space="preserve">MINISTERIO </w:t>
          </w:r>
        </w:p>
        <w:p w:rsidR="006F0529" w:rsidRDefault="006F0529" w:rsidP="008A68DE">
          <w:pPr>
            <w:pStyle w:val="Encabezado"/>
            <w:tabs>
              <w:tab w:val="clear" w:pos="4252"/>
              <w:tab w:val="left" w:pos="2127"/>
              <w:tab w:val="left" w:pos="6521"/>
            </w:tabs>
            <w:rPr>
              <w:rFonts w:ascii="Gill Sans MT" w:hAnsi="Gill Sans MT"/>
              <w:sz w:val="22"/>
            </w:rPr>
          </w:pPr>
          <w:r>
            <w:rPr>
              <w:rFonts w:ascii="Gill Sans MT" w:hAnsi="Gill Sans MT"/>
              <w:sz w:val="22"/>
            </w:rPr>
            <w:t xml:space="preserve">DE </w:t>
          </w:r>
          <w:r w:rsidR="009A382B">
            <w:rPr>
              <w:rFonts w:ascii="Gill Sans MT" w:hAnsi="Gill Sans MT"/>
              <w:sz w:val="22"/>
            </w:rPr>
            <w:t>LA PRESIDENCIA</w:t>
          </w:r>
        </w:p>
        <w:p w:rsidR="006F0529" w:rsidRDefault="006F0529" w:rsidP="009A382B">
          <w:pPr>
            <w:pStyle w:val="Encabezado"/>
            <w:tabs>
              <w:tab w:val="clear" w:pos="4252"/>
              <w:tab w:val="left" w:pos="2127"/>
              <w:tab w:val="left" w:pos="6521"/>
            </w:tabs>
          </w:pPr>
          <w:r>
            <w:rPr>
              <w:rFonts w:ascii="Gill Sans MT" w:hAnsi="Gill Sans MT"/>
              <w:sz w:val="22"/>
            </w:rPr>
            <w:t xml:space="preserve">Y </w:t>
          </w:r>
          <w:r w:rsidR="009A382B">
            <w:rPr>
              <w:rFonts w:ascii="Gill Sans MT" w:hAnsi="Gill Sans MT"/>
              <w:sz w:val="22"/>
            </w:rPr>
            <w:t xml:space="preserve">PARA LAS </w:t>
          </w:r>
          <w:r>
            <w:rPr>
              <w:rFonts w:ascii="Gill Sans MT" w:hAnsi="Gill Sans MT"/>
              <w:sz w:val="22"/>
            </w:rPr>
            <w:t xml:space="preserve">ADMINISTRACIONES </w:t>
          </w:r>
          <w:r w:rsidR="009A382B">
            <w:rPr>
              <w:rFonts w:ascii="Gill Sans MT" w:hAnsi="Gill Sans MT"/>
              <w:sz w:val="22"/>
            </w:rPr>
            <w:t>TERRITORIALES</w:t>
          </w:r>
        </w:p>
      </w:tc>
      <w:tc>
        <w:tcPr>
          <w:tcW w:w="3473" w:type="dxa"/>
          <w:vAlign w:val="center"/>
        </w:tcPr>
        <w:p w:rsidR="006F0529" w:rsidRDefault="006F0529" w:rsidP="00A0758E">
          <w:pPr>
            <w:pStyle w:val="Encabezado"/>
            <w:tabs>
              <w:tab w:val="clear" w:pos="4252"/>
              <w:tab w:val="left" w:pos="6521"/>
            </w:tabs>
            <w:spacing w:after="240"/>
            <w:ind w:right="1418"/>
            <w:rPr>
              <w:rFonts w:ascii="Gill Sans MT" w:hAnsi="Gill Sans MT"/>
              <w:kern w:val="16"/>
              <w:sz w:val="14"/>
            </w:rPr>
          </w:pPr>
        </w:p>
        <w:p w:rsidR="006F0529" w:rsidRPr="00D508FC" w:rsidRDefault="00D508FC" w:rsidP="00D508FC">
          <w:pPr>
            <w:pStyle w:val="Encabezado"/>
            <w:tabs>
              <w:tab w:val="clear" w:pos="4252"/>
              <w:tab w:val="left" w:pos="2765"/>
              <w:tab w:val="left" w:pos="6521"/>
            </w:tabs>
            <w:spacing w:after="240"/>
            <w:ind w:right="426"/>
            <w:rPr>
              <w:kern w:val="16"/>
              <w:szCs w:val="24"/>
            </w:rPr>
          </w:pPr>
          <w:r w:rsidRPr="00D508FC">
            <w:rPr>
              <w:rFonts w:ascii="Gill Sans MT" w:hAnsi="Gill Sans MT"/>
              <w:kern w:val="16"/>
              <w:szCs w:val="24"/>
            </w:rPr>
            <w:t>Comisionado del Gobierno frente al Reto Demográfico</w:t>
          </w:r>
        </w:p>
      </w:tc>
    </w:tr>
    <w:tr w:rsidR="006F0529" w:rsidTr="00D508FC">
      <w:trPr>
        <w:cantSplit/>
        <w:trHeight w:val="40"/>
      </w:trPr>
      <w:tc>
        <w:tcPr>
          <w:tcW w:w="1346" w:type="dxa"/>
          <w:vMerge/>
        </w:tcPr>
        <w:p w:rsidR="006F0529" w:rsidRDefault="006F0529">
          <w:pPr>
            <w:pStyle w:val="Encabezado"/>
            <w:tabs>
              <w:tab w:val="clear" w:pos="4252"/>
              <w:tab w:val="left" w:pos="2127"/>
              <w:tab w:val="left" w:pos="6521"/>
            </w:tabs>
          </w:pPr>
        </w:p>
      </w:tc>
      <w:tc>
        <w:tcPr>
          <w:tcW w:w="6308" w:type="dxa"/>
          <w:vMerge/>
        </w:tcPr>
        <w:p w:rsidR="006F0529" w:rsidRDefault="006F0529">
          <w:pPr>
            <w:pStyle w:val="Encabezado"/>
            <w:tabs>
              <w:tab w:val="clear" w:pos="4252"/>
              <w:tab w:val="left" w:pos="2127"/>
              <w:tab w:val="left" w:pos="6521"/>
            </w:tabs>
          </w:pPr>
        </w:p>
      </w:tc>
      <w:tc>
        <w:tcPr>
          <w:tcW w:w="3473" w:type="dxa"/>
          <w:vAlign w:val="center"/>
        </w:tcPr>
        <w:p w:rsidR="006F0529" w:rsidRDefault="006F0529">
          <w:pPr>
            <w:pStyle w:val="Encabezado"/>
            <w:tabs>
              <w:tab w:val="clear" w:pos="4252"/>
              <w:tab w:val="left" w:pos="6521"/>
            </w:tabs>
            <w:spacing w:after="240"/>
            <w:ind w:right="1418"/>
            <w:rPr>
              <w:kern w:val="16"/>
            </w:rPr>
          </w:pPr>
        </w:p>
      </w:tc>
    </w:tr>
  </w:tbl>
  <w:p w:rsidR="0065755E" w:rsidRDefault="0065755E" w:rsidP="007622D1">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0EF70B1"/>
    <w:multiLevelType w:val="hybridMultilevel"/>
    <w:tmpl w:val="04AED7D2"/>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nsid w:val="04794080"/>
    <w:multiLevelType w:val="hybridMultilevel"/>
    <w:tmpl w:val="2F4A77E0"/>
    <w:lvl w:ilvl="0" w:tplc="0C0A0005">
      <w:start w:val="1"/>
      <w:numFmt w:val="bullet"/>
      <w:lvlText w:val=""/>
      <w:lvlJc w:val="left"/>
      <w:pPr>
        <w:ind w:left="3992" w:hanging="360"/>
      </w:pPr>
      <w:rPr>
        <w:rFonts w:ascii="Wingdings" w:hAnsi="Wingdings" w:hint="default"/>
      </w:rPr>
    </w:lvl>
    <w:lvl w:ilvl="1" w:tplc="0C0A0003" w:tentative="1">
      <w:start w:val="1"/>
      <w:numFmt w:val="bullet"/>
      <w:lvlText w:val="o"/>
      <w:lvlJc w:val="left"/>
      <w:pPr>
        <w:ind w:left="4712" w:hanging="360"/>
      </w:pPr>
      <w:rPr>
        <w:rFonts w:ascii="Courier New" w:hAnsi="Courier New" w:cs="Courier New" w:hint="default"/>
      </w:rPr>
    </w:lvl>
    <w:lvl w:ilvl="2" w:tplc="0C0A0005" w:tentative="1">
      <w:start w:val="1"/>
      <w:numFmt w:val="bullet"/>
      <w:lvlText w:val=""/>
      <w:lvlJc w:val="left"/>
      <w:pPr>
        <w:ind w:left="5432" w:hanging="360"/>
      </w:pPr>
      <w:rPr>
        <w:rFonts w:ascii="Wingdings" w:hAnsi="Wingdings" w:hint="default"/>
      </w:rPr>
    </w:lvl>
    <w:lvl w:ilvl="3" w:tplc="0C0A0001" w:tentative="1">
      <w:start w:val="1"/>
      <w:numFmt w:val="bullet"/>
      <w:lvlText w:val=""/>
      <w:lvlJc w:val="left"/>
      <w:pPr>
        <w:ind w:left="6152" w:hanging="360"/>
      </w:pPr>
      <w:rPr>
        <w:rFonts w:ascii="Symbol" w:hAnsi="Symbol" w:hint="default"/>
      </w:rPr>
    </w:lvl>
    <w:lvl w:ilvl="4" w:tplc="0C0A0003" w:tentative="1">
      <w:start w:val="1"/>
      <w:numFmt w:val="bullet"/>
      <w:lvlText w:val="o"/>
      <w:lvlJc w:val="left"/>
      <w:pPr>
        <w:ind w:left="6872" w:hanging="360"/>
      </w:pPr>
      <w:rPr>
        <w:rFonts w:ascii="Courier New" w:hAnsi="Courier New" w:cs="Courier New" w:hint="default"/>
      </w:rPr>
    </w:lvl>
    <w:lvl w:ilvl="5" w:tplc="0C0A0005" w:tentative="1">
      <w:start w:val="1"/>
      <w:numFmt w:val="bullet"/>
      <w:lvlText w:val=""/>
      <w:lvlJc w:val="left"/>
      <w:pPr>
        <w:ind w:left="7592" w:hanging="360"/>
      </w:pPr>
      <w:rPr>
        <w:rFonts w:ascii="Wingdings" w:hAnsi="Wingdings" w:hint="default"/>
      </w:rPr>
    </w:lvl>
    <w:lvl w:ilvl="6" w:tplc="0C0A0001" w:tentative="1">
      <w:start w:val="1"/>
      <w:numFmt w:val="bullet"/>
      <w:lvlText w:val=""/>
      <w:lvlJc w:val="left"/>
      <w:pPr>
        <w:ind w:left="8312" w:hanging="360"/>
      </w:pPr>
      <w:rPr>
        <w:rFonts w:ascii="Symbol" w:hAnsi="Symbol" w:hint="default"/>
      </w:rPr>
    </w:lvl>
    <w:lvl w:ilvl="7" w:tplc="0C0A0003" w:tentative="1">
      <w:start w:val="1"/>
      <w:numFmt w:val="bullet"/>
      <w:lvlText w:val="o"/>
      <w:lvlJc w:val="left"/>
      <w:pPr>
        <w:ind w:left="9032" w:hanging="360"/>
      </w:pPr>
      <w:rPr>
        <w:rFonts w:ascii="Courier New" w:hAnsi="Courier New" w:cs="Courier New" w:hint="default"/>
      </w:rPr>
    </w:lvl>
    <w:lvl w:ilvl="8" w:tplc="0C0A0005" w:tentative="1">
      <w:start w:val="1"/>
      <w:numFmt w:val="bullet"/>
      <w:lvlText w:val=""/>
      <w:lvlJc w:val="left"/>
      <w:pPr>
        <w:ind w:left="9752" w:hanging="360"/>
      </w:pPr>
      <w:rPr>
        <w:rFonts w:ascii="Wingdings" w:hAnsi="Wingdings" w:hint="default"/>
      </w:rPr>
    </w:lvl>
  </w:abstractNum>
  <w:abstractNum w:abstractNumId="2">
    <w:nsid w:val="10140B8A"/>
    <w:multiLevelType w:val="hybridMultilevel"/>
    <w:tmpl w:val="D43204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06925"/>
    <w:multiLevelType w:val="hybridMultilevel"/>
    <w:tmpl w:val="EED6313E"/>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4">
    <w:nsid w:val="16672937"/>
    <w:multiLevelType w:val="hybridMultilevel"/>
    <w:tmpl w:val="C3EA7C4A"/>
    <w:lvl w:ilvl="0" w:tplc="7B224D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6A18E1"/>
    <w:multiLevelType w:val="hybridMultilevel"/>
    <w:tmpl w:val="67823EC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6">
    <w:nsid w:val="18F06EAE"/>
    <w:multiLevelType w:val="hybridMultilevel"/>
    <w:tmpl w:val="3316571A"/>
    <w:lvl w:ilvl="0" w:tplc="5D6668BA">
      <w:start w:val="4"/>
      <w:numFmt w:val="bullet"/>
      <w:lvlText w:val="-"/>
      <w:lvlJc w:val="left"/>
      <w:pPr>
        <w:ind w:left="2487" w:hanging="360"/>
      </w:pPr>
      <w:rPr>
        <w:rFonts w:ascii="Arial Narrow" w:eastAsia="Times New Roman" w:hAnsi="Arial Narrow"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7">
    <w:nsid w:val="19BF716B"/>
    <w:multiLevelType w:val="multilevel"/>
    <w:tmpl w:val="BB8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07D1A"/>
    <w:multiLevelType w:val="hybridMultilevel"/>
    <w:tmpl w:val="20C8F2E2"/>
    <w:lvl w:ilvl="0" w:tplc="7B224D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C57499"/>
    <w:multiLevelType w:val="multilevel"/>
    <w:tmpl w:val="A488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1">
    <w:nsid w:val="24A33E22"/>
    <w:multiLevelType w:val="multilevel"/>
    <w:tmpl w:val="BE3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43910"/>
    <w:multiLevelType w:val="hybridMultilevel"/>
    <w:tmpl w:val="B890E9AA"/>
    <w:lvl w:ilvl="0" w:tplc="0C0A000D">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3">
    <w:nsid w:val="26D622B5"/>
    <w:multiLevelType w:val="hybridMultilevel"/>
    <w:tmpl w:val="4C9A0152"/>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4">
    <w:nsid w:val="36E23B62"/>
    <w:multiLevelType w:val="hybridMultilevel"/>
    <w:tmpl w:val="DB64378E"/>
    <w:lvl w:ilvl="0" w:tplc="01265D5C">
      <w:start w:val="1"/>
      <w:numFmt w:val="bullet"/>
      <w:lvlText w:val=""/>
      <w:lvlJc w:val="left"/>
      <w:pPr>
        <w:tabs>
          <w:tab w:val="num" w:pos="4471"/>
        </w:tabs>
        <w:ind w:left="4471" w:hanging="360"/>
      </w:pPr>
      <w:rPr>
        <w:rFonts w:ascii="Wingdings" w:hAnsi="Wingdings" w:hint="default"/>
        <w:color w:val="000000"/>
      </w:rPr>
    </w:lvl>
    <w:lvl w:ilvl="1" w:tplc="0C0A0003">
      <w:start w:val="1"/>
      <w:numFmt w:val="bullet"/>
      <w:lvlText w:val="o"/>
      <w:lvlJc w:val="left"/>
      <w:pPr>
        <w:tabs>
          <w:tab w:val="num" w:pos="4340"/>
        </w:tabs>
        <w:ind w:left="4340" w:hanging="360"/>
      </w:pPr>
      <w:rPr>
        <w:rFonts w:ascii="Courier New" w:hAnsi="Courier New" w:hint="default"/>
      </w:rPr>
    </w:lvl>
    <w:lvl w:ilvl="2" w:tplc="0C0A0005">
      <w:start w:val="1"/>
      <w:numFmt w:val="bullet"/>
      <w:lvlText w:val=""/>
      <w:lvlJc w:val="left"/>
      <w:pPr>
        <w:tabs>
          <w:tab w:val="num" w:pos="5060"/>
        </w:tabs>
        <w:ind w:left="5060" w:hanging="360"/>
      </w:pPr>
      <w:rPr>
        <w:rFonts w:ascii="Wingdings" w:hAnsi="Wingdings" w:hint="default"/>
      </w:rPr>
    </w:lvl>
    <w:lvl w:ilvl="3" w:tplc="0C0A0001">
      <w:start w:val="1"/>
      <w:numFmt w:val="bullet"/>
      <w:lvlText w:val=""/>
      <w:lvlJc w:val="left"/>
      <w:pPr>
        <w:tabs>
          <w:tab w:val="num" w:pos="5780"/>
        </w:tabs>
        <w:ind w:left="5780" w:hanging="360"/>
      </w:pPr>
      <w:rPr>
        <w:rFonts w:ascii="Symbol" w:hAnsi="Symbol" w:hint="default"/>
      </w:rPr>
    </w:lvl>
    <w:lvl w:ilvl="4" w:tplc="0C0A0003" w:tentative="1">
      <w:start w:val="1"/>
      <w:numFmt w:val="bullet"/>
      <w:lvlText w:val="o"/>
      <w:lvlJc w:val="left"/>
      <w:pPr>
        <w:tabs>
          <w:tab w:val="num" w:pos="6500"/>
        </w:tabs>
        <w:ind w:left="6500" w:hanging="360"/>
      </w:pPr>
      <w:rPr>
        <w:rFonts w:ascii="Courier New" w:hAnsi="Courier New" w:hint="default"/>
      </w:rPr>
    </w:lvl>
    <w:lvl w:ilvl="5" w:tplc="0C0A0005" w:tentative="1">
      <w:start w:val="1"/>
      <w:numFmt w:val="bullet"/>
      <w:lvlText w:val=""/>
      <w:lvlJc w:val="left"/>
      <w:pPr>
        <w:tabs>
          <w:tab w:val="num" w:pos="7220"/>
        </w:tabs>
        <w:ind w:left="7220" w:hanging="360"/>
      </w:pPr>
      <w:rPr>
        <w:rFonts w:ascii="Wingdings" w:hAnsi="Wingdings" w:hint="default"/>
      </w:rPr>
    </w:lvl>
    <w:lvl w:ilvl="6" w:tplc="0C0A0001" w:tentative="1">
      <w:start w:val="1"/>
      <w:numFmt w:val="bullet"/>
      <w:lvlText w:val=""/>
      <w:lvlJc w:val="left"/>
      <w:pPr>
        <w:tabs>
          <w:tab w:val="num" w:pos="7940"/>
        </w:tabs>
        <w:ind w:left="7940" w:hanging="360"/>
      </w:pPr>
      <w:rPr>
        <w:rFonts w:ascii="Symbol" w:hAnsi="Symbol" w:hint="default"/>
      </w:rPr>
    </w:lvl>
    <w:lvl w:ilvl="7" w:tplc="0C0A0003" w:tentative="1">
      <w:start w:val="1"/>
      <w:numFmt w:val="bullet"/>
      <w:lvlText w:val="o"/>
      <w:lvlJc w:val="left"/>
      <w:pPr>
        <w:tabs>
          <w:tab w:val="num" w:pos="8660"/>
        </w:tabs>
        <w:ind w:left="8660" w:hanging="360"/>
      </w:pPr>
      <w:rPr>
        <w:rFonts w:ascii="Courier New" w:hAnsi="Courier New" w:hint="default"/>
      </w:rPr>
    </w:lvl>
    <w:lvl w:ilvl="8" w:tplc="0C0A0005" w:tentative="1">
      <w:start w:val="1"/>
      <w:numFmt w:val="bullet"/>
      <w:lvlText w:val=""/>
      <w:lvlJc w:val="left"/>
      <w:pPr>
        <w:tabs>
          <w:tab w:val="num" w:pos="9380"/>
        </w:tabs>
        <w:ind w:left="9380" w:hanging="360"/>
      </w:pPr>
      <w:rPr>
        <w:rFonts w:ascii="Wingdings" w:hAnsi="Wingdings" w:hint="default"/>
      </w:rPr>
    </w:lvl>
  </w:abstractNum>
  <w:abstractNum w:abstractNumId="15">
    <w:nsid w:val="371A1743"/>
    <w:multiLevelType w:val="hybridMultilevel"/>
    <w:tmpl w:val="33B873CA"/>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6">
    <w:nsid w:val="3B7F3FB8"/>
    <w:multiLevelType w:val="hybridMultilevel"/>
    <w:tmpl w:val="5C0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12849"/>
    <w:multiLevelType w:val="multilevel"/>
    <w:tmpl w:val="829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A491B"/>
    <w:multiLevelType w:val="hybridMultilevel"/>
    <w:tmpl w:val="6E30AB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1A422F"/>
    <w:multiLevelType w:val="hybridMultilevel"/>
    <w:tmpl w:val="A318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2B1D39"/>
    <w:multiLevelType w:val="hybridMultilevel"/>
    <w:tmpl w:val="2FE01C0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C103832"/>
    <w:multiLevelType w:val="hybridMultilevel"/>
    <w:tmpl w:val="17A0C4E8"/>
    <w:lvl w:ilvl="0" w:tplc="0C0A000B">
      <w:start w:val="1"/>
      <w:numFmt w:val="bullet"/>
      <w:lvlText w:val=""/>
      <w:lvlJc w:val="left"/>
      <w:pPr>
        <w:ind w:left="6456"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2">
    <w:nsid w:val="57300F33"/>
    <w:multiLevelType w:val="hybridMultilevel"/>
    <w:tmpl w:val="979E3248"/>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3">
    <w:nsid w:val="575D63EC"/>
    <w:multiLevelType w:val="hybridMultilevel"/>
    <w:tmpl w:val="674412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5A2D27F1"/>
    <w:multiLevelType w:val="hybridMultilevel"/>
    <w:tmpl w:val="02C0FC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CD76CC2"/>
    <w:multiLevelType w:val="hybridMultilevel"/>
    <w:tmpl w:val="2960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E733CB7"/>
    <w:multiLevelType w:val="hybridMultilevel"/>
    <w:tmpl w:val="E88E54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0EE609C"/>
    <w:multiLevelType w:val="multilevel"/>
    <w:tmpl w:val="020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A3498"/>
    <w:multiLevelType w:val="hybridMultilevel"/>
    <w:tmpl w:val="E01ADA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C3A4633"/>
    <w:multiLevelType w:val="hybridMultilevel"/>
    <w:tmpl w:val="87924FE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0">
    <w:nsid w:val="6FA31E45"/>
    <w:multiLevelType w:val="hybridMultilevel"/>
    <w:tmpl w:val="B8B8E698"/>
    <w:lvl w:ilvl="0" w:tplc="66204A10">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C85710"/>
    <w:multiLevelType w:val="hybridMultilevel"/>
    <w:tmpl w:val="91C00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0"/>
  </w:num>
  <w:num w:numId="2">
    <w:abstractNumId w:val="33"/>
  </w:num>
  <w:num w:numId="3">
    <w:abstractNumId w:val="14"/>
  </w:num>
  <w:num w:numId="4">
    <w:abstractNumId w:val="31"/>
  </w:num>
  <w:num w:numId="5">
    <w:abstractNumId w:val="0"/>
  </w:num>
  <w:num w:numId="6">
    <w:abstractNumId w:val="1"/>
  </w:num>
  <w:num w:numId="7">
    <w:abstractNumId w:val="27"/>
  </w:num>
  <w:num w:numId="8">
    <w:abstractNumId w:val="7"/>
  </w:num>
  <w:num w:numId="9">
    <w:abstractNumId w:val="9"/>
  </w:num>
  <w:num w:numId="10">
    <w:abstractNumId w:val="11"/>
  </w:num>
  <w:num w:numId="11">
    <w:abstractNumId w:val="17"/>
  </w:num>
  <w:num w:numId="12">
    <w:abstractNumId w:val="1"/>
  </w:num>
  <w:num w:numId="13">
    <w:abstractNumId w:val="8"/>
  </w:num>
  <w:num w:numId="14">
    <w:abstractNumId w:val="4"/>
  </w:num>
  <w:num w:numId="15">
    <w:abstractNumId w:val="15"/>
  </w:num>
  <w:num w:numId="16">
    <w:abstractNumId w:val="23"/>
  </w:num>
  <w:num w:numId="17">
    <w:abstractNumId w:val="5"/>
  </w:num>
  <w:num w:numId="18">
    <w:abstractNumId w:val="29"/>
  </w:num>
  <w:num w:numId="19">
    <w:abstractNumId w:val="13"/>
  </w:num>
  <w:num w:numId="20">
    <w:abstractNumId w:val="21"/>
  </w:num>
  <w:num w:numId="21">
    <w:abstractNumId w:val="30"/>
  </w:num>
  <w:num w:numId="22">
    <w:abstractNumId w:val="24"/>
  </w:num>
  <w:num w:numId="23">
    <w:abstractNumId w:val="20"/>
  </w:num>
  <w:num w:numId="24">
    <w:abstractNumId w:val="19"/>
  </w:num>
  <w:num w:numId="25">
    <w:abstractNumId w:val="25"/>
  </w:num>
  <w:num w:numId="26">
    <w:abstractNumId w:val="16"/>
  </w:num>
  <w:num w:numId="27">
    <w:abstractNumId w:val="26"/>
  </w:num>
  <w:num w:numId="28">
    <w:abstractNumId w:val="18"/>
  </w:num>
  <w:num w:numId="29">
    <w:abstractNumId w:val="3"/>
  </w:num>
  <w:num w:numId="30">
    <w:abstractNumId w:val="28"/>
  </w:num>
  <w:num w:numId="31">
    <w:abstractNumId w:val="2"/>
  </w:num>
  <w:num w:numId="32">
    <w:abstractNumId w:val="32"/>
  </w:num>
  <w:num w:numId="33">
    <w:abstractNumId w:val="12"/>
  </w:num>
  <w:num w:numId="34">
    <w:abstractNumId w:val="6"/>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5122" fillcolor="white">
      <v:fill color="white"/>
      <o:colormru v:ext="edit" colors="#ddd"/>
    </o:shapedefaults>
  </w:hdrShapeDefaults>
  <w:footnotePr>
    <w:footnote w:id="-1"/>
    <w:footnote w:id="0"/>
  </w:footnotePr>
  <w:endnotePr>
    <w:endnote w:id="-1"/>
    <w:endnote w:id="0"/>
  </w:endnotePr>
  <w:compat/>
  <w:rsids>
    <w:rsidRoot w:val="00C17A1E"/>
    <w:rsid w:val="00007BF4"/>
    <w:rsid w:val="000149C9"/>
    <w:rsid w:val="000236E7"/>
    <w:rsid w:val="000253A7"/>
    <w:rsid w:val="00025FD2"/>
    <w:rsid w:val="00027FA1"/>
    <w:rsid w:val="000327FE"/>
    <w:rsid w:val="00035376"/>
    <w:rsid w:val="0003615A"/>
    <w:rsid w:val="00042942"/>
    <w:rsid w:val="00050ACE"/>
    <w:rsid w:val="0005265F"/>
    <w:rsid w:val="00071994"/>
    <w:rsid w:val="0009583E"/>
    <w:rsid w:val="000A7BEA"/>
    <w:rsid w:val="000C1117"/>
    <w:rsid w:val="000C7FA0"/>
    <w:rsid w:val="000D1A2A"/>
    <w:rsid w:val="000E1C2A"/>
    <w:rsid w:val="000E2470"/>
    <w:rsid w:val="000E2AD6"/>
    <w:rsid w:val="000E5254"/>
    <w:rsid w:val="000E65B4"/>
    <w:rsid w:val="000F15DD"/>
    <w:rsid w:val="001028F0"/>
    <w:rsid w:val="00103EB4"/>
    <w:rsid w:val="00110187"/>
    <w:rsid w:val="00134A12"/>
    <w:rsid w:val="00153EFF"/>
    <w:rsid w:val="001630B7"/>
    <w:rsid w:val="001778F0"/>
    <w:rsid w:val="0019632B"/>
    <w:rsid w:val="001964EB"/>
    <w:rsid w:val="001A0CF7"/>
    <w:rsid w:val="001A1444"/>
    <w:rsid w:val="001A33CB"/>
    <w:rsid w:val="001A4BA9"/>
    <w:rsid w:val="001B199C"/>
    <w:rsid w:val="001B64DE"/>
    <w:rsid w:val="001C41A3"/>
    <w:rsid w:val="001C532F"/>
    <w:rsid w:val="001C6091"/>
    <w:rsid w:val="001D12ED"/>
    <w:rsid w:val="001E1548"/>
    <w:rsid w:val="001E6004"/>
    <w:rsid w:val="002024A4"/>
    <w:rsid w:val="00207791"/>
    <w:rsid w:val="0021516E"/>
    <w:rsid w:val="0021785B"/>
    <w:rsid w:val="00223E48"/>
    <w:rsid w:val="0023679A"/>
    <w:rsid w:val="00236989"/>
    <w:rsid w:val="002412DD"/>
    <w:rsid w:val="002421FC"/>
    <w:rsid w:val="00244954"/>
    <w:rsid w:val="00247E66"/>
    <w:rsid w:val="00251401"/>
    <w:rsid w:val="00256ECC"/>
    <w:rsid w:val="00261E77"/>
    <w:rsid w:val="00263A9E"/>
    <w:rsid w:val="00281B2E"/>
    <w:rsid w:val="002A2626"/>
    <w:rsid w:val="002A27E8"/>
    <w:rsid w:val="002A319D"/>
    <w:rsid w:val="002A551E"/>
    <w:rsid w:val="002C4EFC"/>
    <w:rsid w:val="002E664D"/>
    <w:rsid w:val="002E7C5F"/>
    <w:rsid w:val="002F0AE6"/>
    <w:rsid w:val="002F3004"/>
    <w:rsid w:val="002F42A1"/>
    <w:rsid w:val="003020F4"/>
    <w:rsid w:val="00322582"/>
    <w:rsid w:val="00351E6A"/>
    <w:rsid w:val="00353F88"/>
    <w:rsid w:val="003708A9"/>
    <w:rsid w:val="00391C0A"/>
    <w:rsid w:val="003A0090"/>
    <w:rsid w:val="003A06DC"/>
    <w:rsid w:val="003B5999"/>
    <w:rsid w:val="003C77BE"/>
    <w:rsid w:val="003E1C05"/>
    <w:rsid w:val="003E43CA"/>
    <w:rsid w:val="003F6CF4"/>
    <w:rsid w:val="00412903"/>
    <w:rsid w:val="0041594A"/>
    <w:rsid w:val="00421BEA"/>
    <w:rsid w:val="00440100"/>
    <w:rsid w:val="004656EE"/>
    <w:rsid w:val="004921A5"/>
    <w:rsid w:val="0049373B"/>
    <w:rsid w:val="0049543F"/>
    <w:rsid w:val="004C13E6"/>
    <w:rsid w:val="004C5C74"/>
    <w:rsid w:val="004D06B4"/>
    <w:rsid w:val="004D3E2C"/>
    <w:rsid w:val="00500E8F"/>
    <w:rsid w:val="00511199"/>
    <w:rsid w:val="005413C8"/>
    <w:rsid w:val="0054140D"/>
    <w:rsid w:val="00541BB7"/>
    <w:rsid w:val="005628EB"/>
    <w:rsid w:val="00563534"/>
    <w:rsid w:val="00565B42"/>
    <w:rsid w:val="0057406C"/>
    <w:rsid w:val="00574754"/>
    <w:rsid w:val="005945F6"/>
    <w:rsid w:val="005A6181"/>
    <w:rsid w:val="005B2EDF"/>
    <w:rsid w:val="005B4E71"/>
    <w:rsid w:val="005C67F2"/>
    <w:rsid w:val="005E5D1E"/>
    <w:rsid w:val="005F531E"/>
    <w:rsid w:val="00603290"/>
    <w:rsid w:val="00606058"/>
    <w:rsid w:val="00624D9C"/>
    <w:rsid w:val="00634842"/>
    <w:rsid w:val="00637899"/>
    <w:rsid w:val="00645147"/>
    <w:rsid w:val="006522FC"/>
    <w:rsid w:val="0065755E"/>
    <w:rsid w:val="0066570B"/>
    <w:rsid w:val="00667EE8"/>
    <w:rsid w:val="006842EC"/>
    <w:rsid w:val="006A5F53"/>
    <w:rsid w:val="006B071B"/>
    <w:rsid w:val="006C0F7F"/>
    <w:rsid w:val="006C14D9"/>
    <w:rsid w:val="006C7E93"/>
    <w:rsid w:val="006F0529"/>
    <w:rsid w:val="00705AB9"/>
    <w:rsid w:val="0070663F"/>
    <w:rsid w:val="00722701"/>
    <w:rsid w:val="00732210"/>
    <w:rsid w:val="00735798"/>
    <w:rsid w:val="0073681D"/>
    <w:rsid w:val="00736BF9"/>
    <w:rsid w:val="00743BCE"/>
    <w:rsid w:val="00745DD4"/>
    <w:rsid w:val="0075241F"/>
    <w:rsid w:val="007567FD"/>
    <w:rsid w:val="007622D1"/>
    <w:rsid w:val="00767109"/>
    <w:rsid w:val="00774547"/>
    <w:rsid w:val="00777DAA"/>
    <w:rsid w:val="00795D69"/>
    <w:rsid w:val="007D35ED"/>
    <w:rsid w:val="007D7FB0"/>
    <w:rsid w:val="00810BF1"/>
    <w:rsid w:val="00813F4A"/>
    <w:rsid w:val="00814F1E"/>
    <w:rsid w:val="00817FFE"/>
    <w:rsid w:val="00820F6F"/>
    <w:rsid w:val="0082796B"/>
    <w:rsid w:val="00837699"/>
    <w:rsid w:val="00846B86"/>
    <w:rsid w:val="0085155F"/>
    <w:rsid w:val="00861B9B"/>
    <w:rsid w:val="00870FC2"/>
    <w:rsid w:val="00873C47"/>
    <w:rsid w:val="0089127E"/>
    <w:rsid w:val="008A19DB"/>
    <w:rsid w:val="008A5360"/>
    <w:rsid w:val="008A68DE"/>
    <w:rsid w:val="008B4788"/>
    <w:rsid w:val="008B6A31"/>
    <w:rsid w:val="008E1578"/>
    <w:rsid w:val="008E5658"/>
    <w:rsid w:val="008F3950"/>
    <w:rsid w:val="00901A78"/>
    <w:rsid w:val="00916DB0"/>
    <w:rsid w:val="0092196A"/>
    <w:rsid w:val="00923914"/>
    <w:rsid w:val="00931B78"/>
    <w:rsid w:val="009429BA"/>
    <w:rsid w:val="00944220"/>
    <w:rsid w:val="009510DC"/>
    <w:rsid w:val="0097380E"/>
    <w:rsid w:val="009774E2"/>
    <w:rsid w:val="00991E74"/>
    <w:rsid w:val="009A382B"/>
    <w:rsid w:val="009C1BBD"/>
    <w:rsid w:val="009C6577"/>
    <w:rsid w:val="009E4934"/>
    <w:rsid w:val="00A03410"/>
    <w:rsid w:val="00A0758E"/>
    <w:rsid w:val="00A156D6"/>
    <w:rsid w:val="00A15B16"/>
    <w:rsid w:val="00A211A1"/>
    <w:rsid w:val="00A567E7"/>
    <w:rsid w:val="00A65ADD"/>
    <w:rsid w:val="00A6664C"/>
    <w:rsid w:val="00A80EEE"/>
    <w:rsid w:val="00A871A8"/>
    <w:rsid w:val="00AA37F8"/>
    <w:rsid w:val="00AB566B"/>
    <w:rsid w:val="00AB72EA"/>
    <w:rsid w:val="00B107C7"/>
    <w:rsid w:val="00B16649"/>
    <w:rsid w:val="00B16CA9"/>
    <w:rsid w:val="00B328D8"/>
    <w:rsid w:val="00B4057B"/>
    <w:rsid w:val="00B50804"/>
    <w:rsid w:val="00B50FF9"/>
    <w:rsid w:val="00B51910"/>
    <w:rsid w:val="00B530E9"/>
    <w:rsid w:val="00B67FE2"/>
    <w:rsid w:val="00B71CF5"/>
    <w:rsid w:val="00B81427"/>
    <w:rsid w:val="00B81B0B"/>
    <w:rsid w:val="00B86B3D"/>
    <w:rsid w:val="00BA2961"/>
    <w:rsid w:val="00BC5471"/>
    <w:rsid w:val="00BC5D55"/>
    <w:rsid w:val="00BE3384"/>
    <w:rsid w:val="00BF1296"/>
    <w:rsid w:val="00C0137C"/>
    <w:rsid w:val="00C10DDF"/>
    <w:rsid w:val="00C13155"/>
    <w:rsid w:val="00C1760F"/>
    <w:rsid w:val="00C17A1E"/>
    <w:rsid w:val="00C207F2"/>
    <w:rsid w:val="00C24429"/>
    <w:rsid w:val="00C343A9"/>
    <w:rsid w:val="00C44FE6"/>
    <w:rsid w:val="00C54C70"/>
    <w:rsid w:val="00C56417"/>
    <w:rsid w:val="00C6591F"/>
    <w:rsid w:val="00C73A7A"/>
    <w:rsid w:val="00C73EF2"/>
    <w:rsid w:val="00C73F0D"/>
    <w:rsid w:val="00C75C2E"/>
    <w:rsid w:val="00C9522E"/>
    <w:rsid w:val="00CB149A"/>
    <w:rsid w:val="00CC359B"/>
    <w:rsid w:val="00CD4CC5"/>
    <w:rsid w:val="00CF609F"/>
    <w:rsid w:val="00D00764"/>
    <w:rsid w:val="00D17993"/>
    <w:rsid w:val="00D23013"/>
    <w:rsid w:val="00D31CEC"/>
    <w:rsid w:val="00D41B9E"/>
    <w:rsid w:val="00D42800"/>
    <w:rsid w:val="00D508FC"/>
    <w:rsid w:val="00D5402A"/>
    <w:rsid w:val="00D5446A"/>
    <w:rsid w:val="00D8472E"/>
    <w:rsid w:val="00D857E9"/>
    <w:rsid w:val="00D90329"/>
    <w:rsid w:val="00D94642"/>
    <w:rsid w:val="00D9583F"/>
    <w:rsid w:val="00DB0CC3"/>
    <w:rsid w:val="00DB27E1"/>
    <w:rsid w:val="00DC1CAA"/>
    <w:rsid w:val="00DE1A25"/>
    <w:rsid w:val="00DF1AAB"/>
    <w:rsid w:val="00E03EDC"/>
    <w:rsid w:val="00E2208F"/>
    <w:rsid w:val="00E23CFE"/>
    <w:rsid w:val="00E33B3F"/>
    <w:rsid w:val="00E430B2"/>
    <w:rsid w:val="00E43FFF"/>
    <w:rsid w:val="00E45BAE"/>
    <w:rsid w:val="00E551C0"/>
    <w:rsid w:val="00E64686"/>
    <w:rsid w:val="00E66000"/>
    <w:rsid w:val="00E71AAF"/>
    <w:rsid w:val="00E76BF4"/>
    <w:rsid w:val="00E80573"/>
    <w:rsid w:val="00E90278"/>
    <w:rsid w:val="00E917F9"/>
    <w:rsid w:val="00EA6868"/>
    <w:rsid w:val="00EB0BCB"/>
    <w:rsid w:val="00EB36D9"/>
    <w:rsid w:val="00EB638A"/>
    <w:rsid w:val="00ED68AD"/>
    <w:rsid w:val="00EE2F42"/>
    <w:rsid w:val="00EE6407"/>
    <w:rsid w:val="00EF6E0F"/>
    <w:rsid w:val="00F01114"/>
    <w:rsid w:val="00F4155E"/>
    <w:rsid w:val="00F54ED2"/>
    <w:rsid w:val="00F64C3B"/>
    <w:rsid w:val="00F66E74"/>
    <w:rsid w:val="00F738DA"/>
    <w:rsid w:val="00FB13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1A8"/>
    <w:rPr>
      <w:rFonts w:ascii="Arial" w:hAnsi="Arial" w:cs="Arial"/>
      <w:sz w:val="24"/>
    </w:rPr>
  </w:style>
  <w:style w:type="paragraph" w:styleId="Ttulo1">
    <w:name w:val="heading 1"/>
    <w:basedOn w:val="Normal"/>
    <w:next w:val="Normal"/>
    <w:link w:val="Ttulo1Car"/>
    <w:qFormat/>
    <w:rsid w:val="00A871A8"/>
    <w:pPr>
      <w:keepNext/>
      <w:outlineLvl w:val="0"/>
    </w:pPr>
    <w:rPr>
      <w:b/>
      <w:bCs/>
      <w:sz w:val="22"/>
    </w:rPr>
  </w:style>
  <w:style w:type="paragraph" w:styleId="Ttulo2">
    <w:name w:val="heading 2"/>
    <w:basedOn w:val="Normal"/>
    <w:next w:val="Normal"/>
    <w:link w:val="Ttulo2Car"/>
    <w:uiPriority w:val="99"/>
    <w:qFormat/>
    <w:rsid w:val="00A871A8"/>
    <w:pPr>
      <w:keepNext/>
      <w:outlineLvl w:val="1"/>
    </w:pPr>
    <w:rPr>
      <w:rFonts w:ascii="Arial Narrow" w:hAnsi="Arial Narrow"/>
      <w:b/>
      <w:bCs/>
    </w:rPr>
  </w:style>
  <w:style w:type="paragraph" w:styleId="Ttulo3">
    <w:name w:val="heading 3"/>
    <w:basedOn w:val="Normal"/>
    <w:next w:val="Normal"/>
    <w:qFormat/>
    <w:rsid w:val="00A871A8"/>
    <w:pPr>
      <w:keepNext/>
      <w:jc w:val="both"/>
      <w:outlineLvl w:val="2"/>
    </w:pPr>
    <w:rPr>
      <w:rFonts w:cs="Times New Roman"/>
      <w:b/>
      <w:u w:val="single"/>
    </w:rPr>
  </w:style>
  <w:style w:type="paragraph" w:styleId="Ttulo4">
    <w:name w:val="heading 4"/>
    <w:basedOn w:val="Normal"/>
    <w:next w:val="Normal"/>
    <w:link w:val="Ttulo4Car"/>
    <w:qFormat/>
    <w:rsid w:val="00A871A8"/>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A871A8"/>
    <w:pPr>
      <w:jc w:val="both"/>
    </w:pPr>
    <w:rPr>
      <w:b/>
    </w:rPr>
  </w:style>
  <w:style w:type="paragraph" w:customStyle="1" w:styleId="Negrita">
    <w:name w:val="Negrita"/>
    <w:basedOn w:val="Normal"/>
    <w:next w:val="Normal"/>
    <w:rsid w:val="00A871A8"/>
    <w:rPr>
      <w:b/>
      <w:color w:val="FF0000"/>
    </w:rPr>
  </w:style>
  <w:style w:type="paragraph" w:customStyle="1" w:styleId="UNO">
    <w:name w:val="UNO"/>
    <w:basedOn w:val="Normal"/>
    <w:next w:val="Normal"/>
    <w:autoRedefine/>
    <w:rsid w:val="00A871A8"/>
    <w:pPr>
      <w:outlineLvl w:val="0"/>
    </w:pPr>
    <w:rPr>
      <w:b/>
      <w:caps/>
      <w:sz w:val="32"/>
    </w:rPr>
  </w:style>
  <w:style w:type="paragraph" w:customStyle="1" w:styleId="DOS">
    <w:name w:val="DOS"/>
    <w:basedOn w:val="Normal"/>
    <w:next w:val="Normal"/>
    <w:autoRedefine/>
    <w:rsid w:val="00A871A8"/>
    <w:pPr>
      <w:jc w:val="center"/>
      <w:outlineLvl w:val="0"/>
    </w:pPr>
    <w:rPr>
      <w:b/>
      <w:caps/>
      <w:sz w:val="28"/>
      <w:u w:val="single"/>
    </w:rPr>
  </w:style>
  <w:style w:type="paragraph" w:customStyle="1" w:styleId="TRES">
    <w:name w:val="TRES"/>
    <w:basedOn w:val="Normal"/>
    <w:next w:val="Normal"/>
    <w:autoRedefine/>
    <w:rsid w:val="00A871A8"/>
    <w:pPr>
      <w:outlineLvl w:val="0"/>
    </w:pPr>
    <w:rPr>
      <w:b/>
      <w:i/>
    </w:rPr>
  </w:style>
  <w:style w:type="paragraph" w:customStyle="1" w:styleId="NEGRITA14">
    <w:name w:val="NEGRITA14"/>
    <w:basedOn w:val="Normal"/>
    <w:next w:val="Normal"/>
    <w:autoRedefine/>
    <w:rsid w:val="00A871A8"/>
    <w:pPr>
      <w:jc w:val="both"/>
    </w:pPr>
    <w:rPr>
      <w:b/>
      <w:caps/>
      <w:sz w:val="28"/>
    </w:rPr>
  </w:style>
  <w:style w:type="paragraph" w:customStyle="1" w:styleId="Estilo1">
    <w:name w:val="Estilo1"/>
    <w:basedOn w:val="Normal"/>
    <w:next w:val="Normal"/>
    <w:rsid w:val="00A871A8"/>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A871A8"/>
    <w:pPr>
      <w:tabs>
        <w:tab w:val="center" w:pos="4252"/>
        <w:tab w:val="right" w:pos="8504"/>
      </w:tabs>
    </w:pPr>
    <w:rPr>
      <w:rFonts w:ascii="Courier" w:hAnsi="Courier"/>
      <w:sz w:val="20"/>
      <w:lang w:val="es-ES_tradnl"/>
    </w:rPr>
  </w:style>
  <w:style w:type="paragraph" w:styleId="Encabezado">
    <w:name w:val="header"/>
    <w:basedOn w:val="Normal"/>
    <w:rsid w:val="00A871A8"/>
    <w:pPr>
      <w:tabs>
        <w:tab w:val="center" w:pos="4252"/>
        <w:tab w:val="right" w:pos="8504"/>
      </w:tabs>
    </w:pPr>
  </w:style>
  <w:style w:type="character" w:styleId="Nmerodepgina">
    <w:name w:val="page number"/>
    <w:basedOn w:val="Fuentedeprrafopredeter"/>
    <w:rsid w:val="00A871A8"/>
  </w:style>
  <w:style w:type="paragraph" w:customStyle="1" w:styleId="Rpido">
    <w:name w:val="Rápido _"/>
    <w:rsid w:val="00A871A8"/>
    <w:rPr>
      <w:snapToGrid w:val="0"/>
      <w:sz w:val="24"/>
      <w:lang w:val="es-ES_tradnl"/>
    </w:rPr>
  </w:style>
  <w:style w:type="paragraph" w:styleId="Sangradetextonormal">
    <w:name w:val="Body Text Indent"/>
    <w:basedOn w:val="Normal"/>
    <w:link w:val="SangradetextonormalCar"/>
    <w:rsid w:val="00A871A8"/>
    <w:pPr>
      <w:ind w:left="851"/>
      <w:jc w:val="both"/>
    </w:pPr>
    <w:rPr>
      <w:rFonts w:ascii="Arial Narrow" w:hAnsi="Arial Narrow"/>
      <w:sz w:val="28"/>
    </w:rPr>
  </w:style>
  <w:style w:type="paragraph" w:styleId="Textoindependiente">
    <w:name w:val="Body Text"/>
    <w:basedOn w:val="Normal"/>
    <w:rsid w:val="00A871A8"/>
    <w:rPr>
      <w:color w:val="FF0000"/>
      <w:sz w:val="20"/>
      <w:lang w:val="es-ES_tradnl"/>
    </w:rPr>
  </w:style>
  <w:style w:type="paragraph" w:styleId="Textoindependiente3">
    <w:name w:val="Body Text 3"/>
    <w:basedOn w:val="Normal"/>
    <w:rsid w:val="00A871A8"/>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character" w:customStyle="1" w:styleId="PiedepginaCar">
    <w:name w:val="Pie de página Car"/>
    <w:basedOn w:val="Fuentedeprrafopredeter"/>
    <w:link w:val="Piedepgina"/>
    <w:rsid w:val="0041594A"/>
    <w:rPr>
      <w:rFonts w:ascii="Courier" w:hAnsi="Courier" w:cs="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s>
</file>

<file path=word/webSettings.xml><?xml version="1.0" encoding="utf-8"?>
<w:webSettings xmlns:r="http://schemas.openxmlformats.org/officeDocument/2006/relationships" xmlns:w="http://schemas.openxmlformats.org/wordprocessingml/2006/main">
  <w:divs>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54B4-93DA-47BD-A769-18CF9072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0</TotalTime>
  <Pages>4</Pages>
  <Words>1244</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8075</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jlfernandez.tostado</cp:lastModifiedBy>
  <cp:revision>2</cp:revision>
  <cp:lastPrinted>2017-04-04T15:46:00Z</cp:lastPrinted>
  <dcterms:created xsi:type="dcterms:W3CDTF">2017-05-11T15:44:00Z</dcterms:created>
  <dcterms:modified xsi:type="dcterms:W3CDTF">2017-05-11T15:44:00Z</dcterms:modified>
</cp:coreProperties>
</file>