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D1" w:rsidRDefault="00BC1627" w:rsidP="007622D1">
      <w:pPr>
        <w:pStyle w:val="Piedepgina"/>
        <w:ind w:left="2127"/>
        <w:rPr>
          <w:rFonts w:ascii="Arial Narrow" w:hAnsi="Arial Narrow"/>
          <w:sz w:val="2"/>
          <w:szCs w:val="2"/>
          <w:lang w:val="es-ES"/>
        </w:rPr>
      </w:pPr>
      <w:r w:rsidRPr="00BC1627">
        <w:rPr>
          <w:rFonts w:ascii="Arial Narrow" w:hAnsi="Arial Narrow"/>
          <w:noProof/>
          <w:sz w:val="27"/>
          <w:szCs w:val="27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12.05pt;width:63pt;height:32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" filled="f" stroked="f">
            <v:textbox style="layout-flow:vertical;mso-layout-flow-alt:bottom-to-top">
              <w:txbxContent>
                <w:p w:rsidR="007622D1" w:rsidRDefault="007622D1" w:rsidP="007622D1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7622D1" w:rsidRPr="000E2470">
        <w:rPr>
          <w:rFonts w:ascii="Arial Narrow" w:hAnsi="Arial Narrow"/>
          <w:sz w:val="27"/>
          <w:szCs w:val="27"/>
          <w:u w:val="single"/>
          <w:lang w:val="es-ES"/>
        </w:rPr>
        <w:t xml:space="preserve">La comisionada del Gobierno frente al Reto Demográfico comparece en </w:t>
      </w:r>
      <w:r w:rsidR="00FD76FD">
        <w:rPr>
          <w:rFonts w:ascii="Arial Narrow" w:hAnsi="Arial Narrow"/>
          <w:sz w:val="27"/>
          <w:szCs w:val="27"/>
          <w:u w:val="single"/>
          <w:lang w:val="es-ES"/>
        </w:rPr>
        <w:t>la Comisión Especial sobre la Evolución Demográfica en España del Senado</w:t>
      </w:r>
    </w:p>
    <w:p w:rsidR="007622D1" w:rsidRDefault="007622D1" w:rsidP="007622D1">
      <w:pPr>
        <w:pStyle w:val="Piedepgina"/>
        <w:ind w:left="2127"/>
        <w:rPr>
          <w:rFonts w:ascii="Arial Narrow" w:hAnsi="Arial Narrow"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sz w:val="2"/>
          <w:szCs w:val="2"/>
          <w:lang w:val="es-ES"/>
        </w:rPr>
      </w:pPr>
    </w:p>
    <w:p w:rsidR="007622D1" w:rsidRPr="008A19DB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Pr="00F23705" w:rsidRDefault="007622D1" w:rsidP="007622D1">
      <w:pPr>
        <w:pStyle w:val="Piedepgina"/>
        <w:ind w:left="2127"/>
        <w:rPr>
          <w:rFonts w:ascii="Arial Narrow" w:hAnsi="Arial Narrow"/>
          <w:b/>
          <w:sz w:val="44"/>
          <w:szCs w:val="44"/>
          <w:lang w:val="es-ES"/>
        </w:rPr>
      </w:pPr>
      <w:r w:rsidRPr="00F23705">
        <w:rPr>
          <w:rFonts w:ascii="Arial Narrow" w:hAnsi="Arial Narrow"/>
          <w:b/>
          <w:sz w:val="44"/>
          <w:szCs w:val="44"/>
          <w:lang w:val="es-ES"/>
        </w:rPr>
        <w:t>Edelmira Barreira: “</w:t>
      </w:r>
      <w:r w:rsidR="00115B05" w:rsidRPr="00F23705">
        <w:rPr>
          <w:rFonts w:ascii="Arial Narrow" w:hAnsi="Arial Narrow"/>
          <w:b/>
          <w:sz w:val="44"/>
          <w:szCs w:val="44"/>
          <w:lang w:val="es-ES"/>
        </w:rPr>
        <w:t>Abordar el reto demográfico requiere</w:t>
      </w:r>
      <w:r w:rsidRPr="00F23705">
        <w:rPr>
          <w:rFonts w:ascii="Arial Narrow" w:hAnsi="Arial Narrow"/>
          <w:b/>
          <w:sz w:val="44"/>
          <w:szCs w:val="44"/>
          <w:lang w:val="es-ES"/>
        </w:rPr>
        <w:t xml:space="preserve"> </w:t>
      </w:r>
      <w:r w:rsidR="00115B05" w:rsidRPr="00F23705">
        <w:rPr>
          <w:rFonts w:ascii="Arial Narrow" w:hAnsi="Arial Narrow"/>
          <w:b/>
          <w:sz w:val="44"/>
          <w:szCs w:val="44"/>
          <w:lang w:val="es-ES"/>
        </w:rPr>
        <w:t xml:space="preserve">mantener un </w:t>
      </w:r>
      <w:r w:rsidRPr="00F23705">
        <w:rPr>
          <w:rFonts w:ascii="Arial Narrow" w:hAnsi="Arial Narrow"/>
          <w:b/>
          <w:sz w:val="44"/>
          <w:szCs w:val="44"/>
          <w:lang w:val="es-ES"/>
        </w:rPr>
        <w:t xml:space="preserve">compromiso </w:t>
      </w:r>
      <w:r w:rsidR="00115B05" w:rsidRPr="00F23705">
        <w:rPr>
          <w:rFonts w:ascii="Arial Narrow" w:hAnsi="Arial Narrow"/>
          <w:b/>
          <w:sz w:val="44"/>
          <w:szCs w:val="44"/>
          <w:lang w:val="es-ES"/>
        </w:rPr>
        <w:t xml:space="preserve">de permanente </w:t>
      </w:r>
      <w:r w:rsidRPr="00F23705">
        <w:rPr>
          <w:rFonts w:ascii="Arial Narrow" w:hAnsi="Arial Narrow"/>
          <w:b/>
          <w:sz w:val="44"/>
          <w:szCs w:val="44"/>
          <w:lang w:val="es-ES"/>
        </w:rPr>
        <w:t>colaboración, porque nos afecta a todos”</w:t>
      </w: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Pr="00C7791A" w:rsidRDefault="007622D1" w:rsidP="007622D1">
      <w:pPr>
        <w:pStyle w:val="Piedepgina"/>
        <w:ind w:left="2410"/>
        <w:jc w:val="both"/>
        <w:rPr>
          <w:rFonts w:ascii="Arial Narrow" w:hAnsi="Arial Narrow"/>
          <w:b/>
          <w:sz w:val="2"/>
          <w:szCs w:val="2"/>
          <w:lang w:val="es-ES"/>
        </w:rPr>
      </w:pPr>
    </w:p>
    <w:p w:rsidR="007622D1" w:rsidRPr="00C7791A" w:rsidRDefault="007622D1" w:rsidP="007622D1">
      <w:pPr>
        <w:pStyle w:val="Piedepgina"/>
        <w:numPr>
          <w:ilvl w:val="0"/>
          <w:numId w:val="35"/>
        </w:numPr>
        <w:ind w:left="2410" w:hanging="283"/>
        <w:jc w:val="both"/>
        <w:rPr>
          <w:rFonts w:ascii="Arial Narrow" w:hAnsi="Arial Narrow"/>
          <w:b/>
          <w:sz w:val="27"/>
          <w:szCs w:val="27"/>
          <w:lang w:val="es-ES"/>
        </w:rPr>
      </w:pPr>
      <w:r w:rsidRPr="00C7791A">
        <w:rPr>
          <w:rFonts w:ascii="Arial Narrow" w:hAnsi="Arial Narrow"/>
          <w:b/>
          <w:sz w:val="27"/>
          <w:szCs w:val="27"/>
          <w:lang w:val="es-ES"/>
        </w:rPr>
        <w:t xml:space="preserve">La comisionada ha descrito la actual situación, con </w:t>
      </w:r>
      <w:r w:rsidR="00551D63">
        <w:rPr>
          <w:rFonts w:ascii="Arial Narrow" w:hAnsi="Arial Narrow"/>
          <w:b/>
          <w:sz w:val="27"/>
          <w:szCs w:val="27"/>
          <w:lang w:val="es-ES"/>
        </w:rPr>
        <w:t>un progresivo envejecimiento</w:t>
      </w:r>
      <w:r w:rsidRPr="00C7791A">
        <w:rPr>
          <w:rFonts w:ascii="Arial Narrow" w:hAnsi="Arial Narrow"/>
          <w:b/>
          <w:sz w:val="27"/>
          <w:szCs w:val="27"/>
          <w:lang w:val="es-ES"/>
        </w:rPr>
        <w:t xml:space="preserve">, baja tasa de natalidad y </w:t>
      </w:r>
      <w:r>
        <w:rPr>
          <w:rFonts w:ascii="Arial Narrow" w:hAnsi="Arial Narrow"/>
          <w:b/>
          <w:sz w:val="27"/>
          <w:szCs w:val="27"/>
          <w:lang w:val="es-ES"/>
        </w:rPr>
        <w:t>problemas de despoblación</w:t>
      </w:r>
      <w:r w:rsidRPr="00C7791A">
        <w:rPr>
          <w:rFonts w:ascii="Arial Narrow" w:hAnsi="Arial Narrow"/>
          <w:b/>
          <w:sz w:val="27"/>
          <w:szCs w:val="27"/>
          <w:lang w:val="es-ES"/>
        </w:rPr>
        <w:t xml:space="preserve">, y ha avanzado los trabajos que deben </w:t>
      </w:r>
      <w:r w:rsidR="00551D63">
        <w:rPr>
          <w:rFonts w:ascii="Arial Narrow" w:hAnsi="Arial Narrow"/>
          <w:b/>
          <w:sz w:val="27"/>
          <w:szCs w:val="27"/>
          <w:lang w:val="es-ES"/>
        </w:rPr>
        <w:t>abordarse desde la colaboración de las distintas Administraciones</w:t>
      </w:r>
      <w:r w:rsidR="00115B05">
        <w:rPr>
          <w:rFonts w:ascii="Arial Narrow" w:hAnsi="Arial Narrow"/>
          <w:b/>
          <w:sz w:val="27"/>
          <w:szCs w:val="27"/>
          <w:lang w:val="es-ES"/>
        </w:rPr>
        <w:t xml:space="preserve">, incluyendo la </w:t>
      </w:r>
      <w:r w:rsidR="00EE4B8F">
        <w:rPr>
          <w:rFonts w:ascii="Arial Narrow" w:hAnsi="Arial Narrow"/>
          <w:b/>
          <w:sz w:val="27"/>
          <w:szCs w:val="27"/>
          <w:lang w:val="es-ES"/>
        </w:rPr>
        <w:t>defensa de la implicación</w:t>
      </w:r>
      <w:r w:rsidR="00115B05">
        <w:rPr>
          <w:rFonts w:ascii="Arial Narrow" w:hAnsi="Arial Narrow"/>
          <w:b/>
          <w:sz w:val="27"/>
          <w:szCs w:val="27"/>
          <w:lang w:val="es-ES"/>
        </w:rPr>
        <w:t xml:space="preserve"> de las institu</w:t>
      </w:r>
      <w:r w:rsidR="00551D63">
        <w:rPr>
          <w:rFonts w:ascii="Arial Narrow" w:hAnsi="Arial Narrow"/>
          <w:b/>
          <w:sz w:val="27"/>
          <w:szCs w:val="27"/>
          <w:lang w:val="es-ES"/>
        </w:rPr>
        <w:t>ciones de la UE</w:t>
      </w: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Pr="00C7791A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7622D1" w:rsidRDefault="007622D1" w:rsidP="007622D1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FD76FD" w:rsidRDefault="00115B05" w:rsidP="007622D1">
      <w:pPr>
        <w:pStyle w:val="Piedepgina"/>
        <w:ind w:left="2127"/>
        <w:jc w:val="both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</w:rPr>
        <w:t>19 de junio</w:t>
      </w:r>
      <w:r w:rsidR="007622D1" w:rsidRPr="00BB06ED">
        <w:rPr>
          <w:rFonts w:ascii="Arial Narrow" w:hAnsi="Arial Narrow"/>
          <w:b/>
          <w:sz w:val="28"/>
          <w:szCs w:val="28"/>
          <w:lang w:val="es-ES"/>
        </w:rPr>
        <w:t>de 201</w:t>
      </w:r>
      <w:r w:rsidR="007622D1">
        <w:rPr>
          <w:rFonts w:ascii="Arial Narrow" w:hAnsi="Arial Narrow"/>
          <w:b/>
          <w:sz w:val="28"/>
          <w:szCs w:val="28"/>
          <w:lang w:val="es-ES"/>
        </w:rPr>
        <w:t>7</w:t>
      </w:r>
      <w:r w:rsidR="007622D1" w:rsidRPr="00BB06ED">
        <w:rPr>
          <w:rFonts w:ascii="Arial Narrow" w:hAnsi="Arial Narrow"/>
          <w:b/>
          <w:sz w:val="28"/>
          <w:szCs w:val="28"/>
          <w:lang w:val="es-ES"/>
        </w:rPr>
        <w:t xml:space="preserve">.- </w:t>
      </w:r>
      <w:r w:rsidR="007622D1" w:rsidRPr="001028F0">
        <w:rPr>
          <w:rFonts w:ascii="Arial Narrow" w:hAnsi="Arial Narrow"/>
          <w:sz w:val="28"/>
          <w:szCs w:val="28"/>
          <w:lang w:val="es-ES"/>
        </w:rPr>
        <w:t>La comisionada del Gobierno frente al Reto Demográfico</w:t>
      </w:r>
      <w:r w:rsidR="00FD76FD">
        <w:rPr>
          <w:rFonts w:ascii="Arial Narrow" w:hAnsi="Arial Narrow"/>
          <w:sz w:val="28"/>
          <w:szCs w:val="28"/>
          <w:lang w:val="es-ES"/>
        </w:rPr>
        <w:t xml:space="preserve">, Edelmira Barreira, </w:t>
      </w:r>
      <w:r w:rsidR="007622D1" w:rsidRPr="001028F0">
        <w:rPr>
          <w:rFonts w:ascii="Arial Narrow" w:hAnsi="Arial Narrow"/>
          <w:sz w:val="28"/>
          <w:szCs w:val="28"/>
          <w:lang w:val="es-ES"/>
        </w:rPr>
        <w:t xml:space="preserve">ha destacado </w:t>
      </w:r>
      <w:r w:rsidR="007622D1">
        <w:rPr>
          <w:rFonts w:ascii="Arial Narrow" w:hAnsi="Arial Narrow"/>
          <w:sz w:val="28"/>
          <w:szCs w:val="28"/>
          <w:lang w:val="es-ES"/>
        </w:rPr>
        <w:t>que es necesario mantener el acuerdo</w:t>
      </w:r>
      <w:r w:rsidR="00551D63">
        <w:rPr>
          <w:rFonts w:ascii="Arial Narrow" w:hAnsi="Arial Narrow"/>
          <w:sz w:val="28"/>
          <w:szCs w:val="28"/>
          <w:lang w:val="es-ES"/>
        </w:rPr>
        <w:t xml:space="preserve"> y el ánimo colaborativo</w:t>
      </w:r>
      <w:r w:rsidR="007622D1">
        <w:rPr>
          <w:rFonts w:ascii="Arial Narrow" w:hAnsi="Arial Narrow"/>
          <w:sz w:val="28"/>
          <w:szCs w:val="28"/>
          <w:lang w:val="es-ES"/>
        </w:rPr>
        <w:t xml:space="preserve"> manifestado en la Conferencia de Presidentes</w:t>
      </w:r>
      <w:r w:rsidR="00FD76FD">
        <w:rPr>
          <w:rFonts w:ascii="Arial Narrow" w:hAnsi="Arial Narrow"/>
          <w:i/>
          <w:sz w:val="28"/>
          <w:szCs w:val="28"/>
          <w:lang w:val="es-ES"/>
        </w:rPr>
        <w:t>.</w:t>
      </w:r>
    </w:p>
    <w:p w:rsidR="00FD76FD" w:rsidRDefault="00FD76FD" w:rsidP="007622D1">
      <w:pPr>
        <w:pStyle w:val="Piedepgina"/>
        <w:ind w:left="2127"/>
        <w:jc w:val="both"/>
        <w:rPr>
          <w:rFonts w:ascii="Arial Narrow" w:hAnsi="Arial Narrow"/>
          <w:i/>
          <w:sz w:val="28"/>
          <w:szCs w:val="28"/>
          <w:lang w:val="es-ES"/>
        </w:rPr>
      </w:pPr>
    </w:p>
    <w:p w:rsidR="00FD76FD" w:rsidRDefault="007622D1" w:rsidP="007622D1">
      <w:pPr>
        <w:pStyle w:val="Piedepgina"/>
        <w:ind w:left="2127"/>
        <w:jc w:val="both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Edelmira Barreira, que ha comparecido en </w:t>
      </w:r>
      <w:r w:rsidR="00FD76FD">
        <w:rPr>
          <w:rFonts w:ascii="Arial Narrow" w:hAnsi="Arial Narrow"/>
          <w:sz w:val="28"/>
          <w:szCs w:val="28"/>
          <w:lang w:val="es-ES"/>
        </w:rPr>
        <w:t xml:space="preserve">el Senado, en </w:t>
      </w:r>
      <w:r>
        <w:rPr>
          <w:rFonts w:ascii="Arial Narrow" w:hAnsi="Arial Narrow"/>
          <w:sz w:val="28"/>
          <w:szCs w:val="28"/>
          <w:lang w:val="es-ES"/>
        </w:rPr>
        <w:t xml:space="preserve">la Comisión </w:t>
      </w:r>
      <w:r w:rsidR="00FD76FD">
        <w:rPr>
          <w:rFonts w:ascii="Arial Narrow" w:hAnsi="Arial Narrow"/>
          <w:sz w:val="28"/>
          <w:szCs w:val="28"/>
          <w:lang w:val="es-ES"/>
        </w:rPr>
        <w:t xml:space="preserve">Especial sobre la Evolución Demográfica de España, </w:t>
      </w:r>
      <w:r>
        <w:rPr>
          <w:rFonts w:ascii="Arial Narrow" w:hAnsi="Arial Narrow"/>
          <w:sz w:val="28"/>
          <w:szCs w:val="28"/>
          <w:lang w:val="es-ES"/>
        </w:rPr>
        <w:t>ha afirmado que la</w:t>
      </w:r>
      <w:r w:rsidRPr="001028F0">
        <w:rPr>
          <w:rFonts w:ascii="Arial Narrow" w:hAnsi="Arial Narrow"/>
          <w:sz w:val="28"/>
          <w:szCs w:val="28"/>
          <w:lang w:val="es-ES"/>
        </w:rPr>
        <w:t xml:space="preserve"> Estrategia Nacional</w:t>
      </w:r>
      <w:r w:rsidR="00551D63">
        <w:rPr>
          <w:rFonts w:ascii="Arial Narrow" w:hAnsi="Arial Narrow"/>
          <w:sz w:val="28"/>
          <w:szCs w:val="28"/>
          <w:lang w:val="es-ES"/>
        </w:rPr>
        <w:t xml:space="preserve"> frente al Reto Demográfico</w:t>
      </w:r>
      <w:r w:rsidRPr="001028F0">
        <w:rPr>
          <w:rFonts w:ascii="Arial Narrow" w:hAnsi="Arial Narrow"/>
          <w:sz w:val="28"/>
          <w:szCs w:val="28"/>
          <w:lang w:val="es-ES"/>
        </w:rPr>
        <w:t xml:space="preserve"> </w:t>
      </w:r>
      <w:r w:rsidRPr="001028F0">
        <w:rPr>
          <w:rFonts w:ascii="Arial Narrow" w:hAnsi="Arial Narrow"/>
          <w:i/>
          <w:sz w:val="28"/>
          <w:szCs w:val="28"/>
          <w:lang w:val="es-ES"/>
        </w:rPr>
        <w:t xml:space="preserve">“debe </w:t>
      </w:r>
      <w:r w:rsidR="00FD76FD">
        <w:rPr>
          <w:rFonts w:ascii="Arial Narrow" w:hAnsi="Arial Narrow"/>
          <w:i/>
          <w:sz w:val="28"/>
          <w:szCs w:val="28"/>
          <w:lang w:val="es-ES"/>
        </w:rPr>
        <w:t xml:space="preserve">contar con la colaboración y contribución de todos, para afrontar una situación que nos afecta a todos, como es la propia evolución de la población, y también </w:t>
      </w:r>
      <w:r w:rsidR="00551D63">
        <w:rPr>
          <w:rFonts w:ascii="Arial Narrow" w:hAnsi="Arial Narrow"/>
          <w:i/>
          <w:sz w:val="28"/>
          <w:szCs w:val="28"/>
          <w:lang w:val="es-ES"/>
        </w:rPr>
        <w:t>es preciso</w:t>
      </w:r>
      <w:r w:rsidR="00FD76FD">
        <w:rPr>
          <w:rFonts w:ascii="Arial Narrow" w:hAnsi="Arial Narrow"/>
          <w:i/>
          <w:sz w:val="28"/>
          <w:szCs w:val="28"/>
          <w:lang w:val="es-ES"/>
        </w:rPr>
        <w:t xml:space="preserve"> contar con la implicación de las instituciones europeas, que podrían ser una parte muy importante de la solución”.</w:t>
      </w:r>
    </w:p>
    <w:p w:rsidR="00FD76FD" w:rsidRDefault="00FD76FD" w:rsidP="007622D1">
      <w:pPr>
        <w:pStyle w:val="Piedepgina"/>
        <w:ind w:left="2127"/>
        <w:jc w:val="both"/>
        <w:rPr>
          <w:rFonts w:ascii="Arial Narrow" w:hAnsi="Arial Narrow"/>
          <w:i/>
          <w:sz w:val="28"/>
          <w:szCs w:val="28"/>
          <w:lang w:val="es-ES"/>
        </w:rPr>
      </w:pPr>
    </w:p>
    <w:p w:rsidR="00FD76FD" w:rsidRPr="00343363" w:rsidRDefault="00FD76FD" w:rsidP="007622D1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 w:rsidRPr="00343363">
        <w:rPr>
          <w:rFonts w:ascii="Arial Narrow" w:hAnsi="Arial Narrow"/>
          <w:sz w:val="28"/>
          <w:szCs w:val="28"/>
          <w:lang w:val="es-ES"/>
        </w:rPr>
        <w:t>La comisionada del Gobierno frente al Reto Demográfico, que viaja a Bruselas para mantener varias reuniones esta semana con</w:t>
      </w:r>
      <w:r w:rsidR="00343363" w:rsidRPr="00343363">
        <w:rPr>
          <w:rFonts w:ascii="Arial Narrow" w:hAnsi="Arial Narrow"/>
          <w:sz w:val="28"/>
          <w:szCs w:val="28"/>
          <w:lang w:val="es-ES"/>
        </w:rPr>
        <w:t xml:space="preserve"> representantes </w:t>
      </w:r>
      <w:r w:rsidR="00EE4B8F">
        <w:rPr>
          <w:rFonts w:ascii="Arial Narrow" w:hAnsi="Arial Narrow"/>
          <w:sz w:val="28"/>
          <w:szCs w:val="28"/>
          <w:lang w:val="es-ES"/>
        </w:rPr>
        <w:t xml:space="preserve">de diferentes instancias </w:t>
      </w:r>
      <w:r w:rsidR="00343363" w:rsidRPr="00343363">
        <w:rPr>
          <w:rFonts w:ascii="Arial Narrow" w:hAnsi="Arial Narrow"/>
          <w:sz w:val="28"/>
          <w:szCs w:val="28"/>
          <w:lang w:val="es-ES"/>
        </w:rPr>
        <w:t>comunitari</w:t>
      </w:r>
      <w:r w:rsidR="00EE4B8F">
        <w:rPr>
          <w:rFonts w:ascii="Arial Narrow" w:hAnsi="Arial Narrow"/>
          <w:sz w:val="28"/>
          <w:szCs w:val="28"/>
          <w:lang w:val="es-ES"/>
        </w:rPr>
        <w:t>a</w:t>
      </w:r>
      <w:r w:rsidR="00343363" w:rsidRPr="00343363">
        <w:rPr>
          <w:rFonts w:ascii="Arial Narrow" w:hAnsi="Arial Narrow"/>
          <w:sz w:val="28"/>
          <w:szCs w:val="28"/>
          <w:lang w:val="es-ES"/>
        </w:rPr>
        <w:t>s,</w:t>
      </w:r>
      <w:r w:rsidR="00343363">
        <w:rPr>
          <w:rFonts w:ascii="Arial Narrow" w:hAnsi="Arial Narrow"/>
          <w:i/>
          <w:sz w:val="28"/>
          <w:szCs w:val="28"/>
          <w:lang w:val="es-ES"/>
        </w:rPr>
        <w:t xml:space="preserve"> “para trasladarles estas inquietudes”, </w:t>
      </w:r>
      <w:r w:rsidR="00343363" w:rsidRPr="00343363">
        <w:rPr>
          <w:rFonts w:ascii="Arial Narrow" w:hAnsi="Arial Narrow"/>
          <w:sz w:val="28"/>
          <w:szCs w:val="28"/>
          <w:lang w:val="es-ES"/>
        </w:rPr>
        <w:t xml:space="preserve">ha analizado la situación actual y los pasos que se están dando </w:t>
      </w:r>
      <w:r w:rsidR="00EE4B8F">
        <w:rPr>
          <w:rFonts w:ascii="Arial Narrow" w:hAnsi="Arial Narrow"/>
          <w:sz w:val="28"/>
          <w:szCs w:val="28"/>
          <w:lang w:val="es-ES"/>
        </w:rPr>
        <w:t>de cara a una</w:t>
      </w:r>
      <w:r w:rsidR="00343363" w:rsidRPr="00343363">
        <w:rPr>
          <w:rFonts w:ascii="Arial Narrow" w:hAnsi="Arial Narrow"/>
          <w:sz w:val="28"/>
          <w:szCs w:val="28"/>
          <w:lang w:val="es-ES"/>
        </w:rPr>
        <w:t xml:space="preserve"> Estrategia Nacional.</w:t>
      </w:r>
    </w:p>
    <w:p w:rsidR="00551D63" w:rsidRDefault="00551D63" w:rsidP="00551D63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</w:p>
    <w:p w:rsidR="00551D63" w:rsidRDefault="00551D63" w:rsidP="00551D63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 recordado que el cambio demográfico afecta a nuestro país y a los países de nuestro entorno, y ha expuesto la situación a día de hoy y las proyecciones futuras, de mantenerse la tendencia actual. </w:t>
      </w:r>
    </w:p>
    <w:p w:rsidR="00343363" w:rsidRDefault="00343363" w:rsidP="007622D1">
      <w:pPr>
        <w:pStyle w:val="Piedepgina"/>
        <w:ind w:left="2127"/>
        <w:jc w:val="both"/>
        <w:rPr>
          <w:rFonts w:ascii="Arial Narrow" w:hAnsi="Arial Narrow"/>
          <w:i/>
          <w:sz w:val="28"/>
          <w:szCs w:val="28"/>
          <w:lang w:val="es-ES"/>
        </w:rPr>
      </w:pPr>
    </w:p>
    <w:p w:rsidR="007622D1" w:rsidRPr="00343363" w:rsidRDefault="00343363" w:rsidP="007622D1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</w:rPr>
      </w:pPr>
      <w:r w:rsidRPr="00343363">
        <w:rPr>
          <w:rFonts w:ascii="Arial Narrow" w:hAnsi="Arial Narrow"/>
          <w:b/>
          <w:sz w:val="28"/>
          <w:szCs w:val="28"/>
          <w:u w:val="single"/>
          <w:lang w:val="es-ES"/>
        </w:rPr>
        <w:t>Envejecimiento</w:t>
      </w:r>
    </w:p>
    <w:p w:rsidR="00EE4B8F" w:rsidRDefault="00EE4B8F" w:rsidP="007622D1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</w:p>
    <w:p w:rsidR="003D7DDC" w:rsidRDefault="00551D63" w:rsidP="007622D1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Así, a</w:t>
      </w:r>
      <w:r w:rsidR="00EE4B8F">
        <w:rPr>
          <w:rFonts w:ascii="Arial Narrow" w:hAnsi="Arial Narrow"/>
          <w:sz w:val="28"/>
          <w:szCs w:val="28"/>
        </w:rPr>
        <w:t xml:space="preserve"> día de hoy, se acerca al 19%</w:t>
      </w:r>
      <w:r w:rsidR="003D7DDC">
        <w:rPr>
          <w:rFonts w:ascii="Arial Narrow" w:hAnsi="Arial Narrow"/>
          <w:sz w:val="28"/>
          <w:szCs w:val="28"/>
        </w:rPr>
        <w:t xml:space="preserve"> </w:t>
      </w:r>
      <w:r w:rsidR="007622D1">
        <w:rPr>
          <w:rFonts w:ascii="Arial Narrow" w:hAnsi="Arial Narrow"/>
          <w:sz w:val="28"/>
          <w:szCs w:val="28"/>
        </w:rPr>
        <w:t xml:space="preserve">el número de personas con 65 o </w:t>
      </w:r>
      <w:r w:rsidR="003D7DDC">
        <w:rPr>
          <w:rFonts w:ascii="Arial Narrow" w:hAnsi="Arial Narrow"/>
          <w:sz w:val="28"/>
          <w:szCs w:val="28"/>
        </w:rPr>
        <w:t xml:space="preserve">más años, aunque todavía estamos por debajo de la media europea (19,2%) y de otros países, como Alemania (21,05%) o Italia (22,04%). Pero, en España, hay </w:t>
      </w:r>
      <w:r w:rsidR="00EE4B8F">
        <w:rPr>
          <w:rFonts w:ascii="Arial Narrow" w:hAnsi="Arial Narrow"/>
          <w:sz w:val="28"/>
          <w:szCs w:val="28"/>
        </w:rPr>
        <w:t>regiones</w:t>
      </w:r>
      <w:r w:rsidR="003D7DDC">
        <w:rPr>
          <w:rFonts w:ascii="Arial Narrow" w:hAnsi="Arial Narrow"/>
          <w:sz w:val="28"/>
          <w:szCs w:val="28"/>
        </w:rPr>
        <w:t xml:space="preserve"> </w:t>
      </w:r>
      <w:r w:rsidR="00EE4B8F">
        <w:rPr>
          <w:rFonts w:ascii="Arial Narrow" w:hAnsi="Arial Narrow"/>
          <w:sz w:val="28"/>
          <w:szCs w:val="28"/>
        </w:rPr>
        <w:t xml:space="preserve">en las que </w:t>
      </w:r>
      <w:r w:rsidR="003D7DDC">
        <w:rPr>
          <w:rFonts w:ascii="Arial Narrow" w:hAnsi="Arial Narrow"/>
          <w:sz w:val="28"/>
          <w:szCs w:val="28"/>
        </w:rPr>
        <w:t>las personas</w:t>
      </w:r>
      <w:r w:rsidR="00EE4B8F">
        <w:rPr>
          <w:rFonts w:ascii="Arial Narrow" w:hAnsi="Arial Narrow"/>
          <w:sz w:val="28"/>
          <w:szCs w:val="28"/>
        </w:rPr>
        <w:t xml:space="preserve"> </w:t>
      </w:r>
      <w:r w:rsidR="003D7DDC">
        <w:rPr>
          <w:rFonts w:ascii="Arial Narrow" w:hAnsi="Arial Narrow"/>
          <w:sz w:val="28"/>
          <w:szCs w:val="28"/>
        </w:rPr>
        <w:t>de esa edad ya alcanzan casi el cuarto de su población.</w:t>
      </w:r>
    </w:p>
    <w:p w:rsidR="00551D63" w:rsidRDefault="00551D63" w:rsidP="00551D63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Según las proyecciones del INE, en 15 años, la población que supera los 65 años alcanzará el 25,6% (11,7 millones) y registrará su mayor intensidad en 2050, cuando llegaría al 35,2% (15,6 millones). </w:t>
      </w:r>
    </w:p>
    <w:p w:rsidR="003D7DDC" w:rsidRDefault="003D7DDC" w:rsidP="007622D1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</w:p>
    <w:p w:rsidR="007622D1" w:rsidRDefault="003D7DDC" w:rsidP="007622D1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esperanza de vida casi </w:t>
      </w:r>
      <w:r w:rsidR="007D2783">
        <w:rPr>
          <w:rFonts w:ascii="Arial Narrow" w:hAnsi="Arial Narrow"/>
          <w:sz w:val="28"/>
          <w:szCs w:val="28"/>
        </w:rPr>
        <w:t xml:space="preserve">llega </w:t>
      </w:r>
      <w:r>
        <w:rPr>
          <w:rFonts w:ascii="Arial Narrow" w:hAnsi="Arial Narrow"/>
          <w:sz w:val="28"/>
          <w:szCs w:val="28"/>
        </w:rPr>
        <w:t xml:space="preserve">a los 83 años (82,71), una de las más altas del mundo, en el caso de las mujeres. </w:t>
      </w:r>
      <w:r w:rsidR="00551D63">
        <w:rPr>
          <w:rFonts w:ascii="Arial Narrow" w:hAnsi="Arial Narrow"/>
          <w:sz w:val="28"/>
          <w:szCs w:val="28"/>
        </w:rPr>
        <w:t xml:space="preserve">Ha crecido de forma importante y es de prever que siga creciendo, lo que contribuiría a un </w:t>
      </w:r>
      <w:r w:rsidR="007622D1">
        <w:rPr>
          <w:rFonts w:ascii="Arial Narrow" w:hAnsi="Arial Narrow"/>
          <w:sz w:val="28"/>
          <w:szCs w:val="28"/>
        </w:rPr>
        <w:t xml:space="preserve">importante incremento de las personas </w:t>
      </w:r>
      <w:r w:rsidR="00551D63">
        <w:rPr>
          <w:rFonts w:ascii="Arial Narrow" w:hAnsi="Arial Narrow"/>
          <w:sz w:val="28"/>
          <w:szCs w:val="28"/>
        </w:rPr>
        <w:t>de edad avanzada</w:t>
      </w:r>
      <w:r w:rsidR="007622D1">
        <w:rPr>
          <w:rFonts w:ascii="Arial Narrow" w:hAnsi="Arial Narrow"/>
          <w:sz w:val="28"/>
          <w:szCs w:val="28"/>
        </w:rPr>
        <w:t xml:space="preserve">. </w:t>
      </w:r>
      <w:r w:rsidR="00551D63">
        <w:rPr>
          <w:rFonts w:ascii="Arial Narrow" w:hAnsi="Arial Narrow"/>
          <w:sz w:val="28"/>
          <w:szCs w:val="28"/>
        </w:rPr>
        <w:t xml:space="preserve">Según las proyecciones, las </w:t>
      </w:r>
      <w:r w:rsidR="007622D1">
        <w:rPr>
          <w:rFonts w:ascii="Arial Narrow" w:hAnsi="Arial Narrow"/>
          <w:sz w:val="28"/>
          <w:szCs w:val="28"/>
        </w:rPr>
        <w:t xml:space="preserve">personas con más 80 años </w:t>
      </w:r>
      <w:r w:rsidR="00551D63">
        <w:rPr>
          <w:rFonts w:ascii="Arial Narrow" w:hAnsi="Arial Narrow"/>
          <w:sz w:val="28"/>
          <w:szCs w:val="28"/>
        </w:rPr>
        <w:t>podrían pasar del 6% al 18% de la población en medio siglo</w:t>
      </w:r>
      <w:r w:rsidR="007622D1">
        <w:rPr>
          <w:rFonts w:ascii="Arial Narrow" w:hAnsi="Arial Narrow"/>
          <w:sz w:val="28"/>
          <w:szCs w:val="28"/>
        </w:rPr>
        <w:t>.</w:t>
      </w:r>
    </w:p>
    <w:p w:rsidR="007622D1" w:rsidRDefault="007622D1" w:rsidP="007622D1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</w:p>
    <w:p w:rsidR="007622D1" w:rsidRPr="00B67FE2" w:rsidRDefault="007622D1" w:rsidP="007622D1">
      <w:pPr>
        <w:pStyle w:val="Piedepgina"/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67FE2">
        <w:rPr>
          <w:rFonts w:ascii="Arial Narrow" w:hAnsi="Arial Narrow"/>
          <w:b/>
          <w:sz w:val="28"/>
          <w:szCs w:val="28"/>
          <w:u w:val="single"/>
        </w:rPr>
        <w:t>Baja natalidad</w:t>
      </w:r>
    </w:p>
    <w:p w:rsidR="007622D1" w:rsidRDefault="007622D1" w:rsidP="007622D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EE4B8F" w:rsidRDefault="007622D1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Comisionada </w:t>
      </w:r>
      <w:r w:rsidR="007D2783">
        <w:rPr>
          <w:rFonts w:ascii="Arial Narrow" w:hAnsi="Arial Narrow"/>
          <w:sz w:val="28"/>
          <w:szCs w:val="28"/>
        </w:rPr>
        <w:t xml:space="preserve">se </w:t>
      </w:r>
      <w:r>
        <w:rPr>
          <w:rFonts w:ascii="Arial Narrow" w:hAnsi="Arial Narrow"/>
          <w:sz w:val="28"/>
          <w:szCs w:val="28"/>
        </w:rPr>
        <w:t xml:space="preserve">ha referido también </w:t>
      </w:r>
      <w:r w:rsidR="007D2783">
        <w:rPr>
          <w:rFonts w:ascii="Arial Narrow" w:hAnsi="Arial Narrow"/>
          <w:sz w:val="28"/>
          <w:szCs w:val="28"/>
        </w:rPr>
        <w:t xml:space="preserve">a </w:t>
      </w:r>
      <w:r>
        <w:rPr>
          <w:rFonts w:ascii="Arial Narrow" w:hAnsi="Arial Narrow"/>
          <w:sz w:val="28"/>
          <w:szCs w:val="28"/>
        </w:rPr>
        <w:t>la baja natalidad que registra España, con 1,33 hijos por mujer, entre las más bajas de la Unión Europea</w:t>
      </w:r>
      <w:r w:rsidR="00304471">
        <w:rPr>
          <w:rFonts w:ascii="Arial Narrow" w:hAnsi="Arial Narrow"/>
          <w:sz w:val="28"/>
          <w:szCs w:val="28"/>
        </w:rPr>
        <w:t xml:space="preserve">, solo por encima de Chipre, Polonia y Portugal. </w:t>
      </w:r>
      <w:r w:rsidR="00EE4B8F">
        <w:rPr>
          <w:rFonts w:ascii="Arial Narrow" w:hAnsi="Arial Narrow"/>
          <w:sz w:val="28"/>
          <w:szCs w:val="28"/>
        </w:rPr>
        <w:t>Esta situación contrasta con</w:t>
      </w:r>
      <w:r w:rsidR="00D242E8">
        <w:rPr>
          <w:rFonts w:ascii="Arial Narrow" w:hAnsi="Arial Narrow"/>
          <w:sz w:val="28"/>
          <w:szCs w:val="28"/>
        </w:rPr>
        <w:t xml:space="preserve"> lo señalado por</w:t>
      </w:r>
      <w:r w:rsidR="00EE4B8F">
        <w:rPr>
          <w:rFonts w:ascii="Arial Narrow" w:hAnsi="Arial Narrow"/>
          <w:sz w:val="28"/>
          <w:szCs w:val="28"/>
        </w:rPr>
        <w:t xml:space="preserve"> el barómetro del CIS de mayo, que </w:t>
      </w:r>
      <w:r w:rsidR="00D242E8">
        <w:rPr>
          <w:rFonts w:ascii="Arial Narrow" w:hAnsi="Arial Narrow"/>
          <w:sz w:val="28"/>
          <w:szCs w:val="28"/>
        </w:rPr>
        <w:t>registra</w:t>
      </w:r>
      <w:r w:rsidR="00EE4B8F">
        <w:rPr>
          <w:rFonts w:ascii="Arial Narrow" w:hAnsi="Arial Narrow"/>
          <w:sz w:val="28"/>
          <w:szCs w:val="28"/>
        </w:rPr>
        <w:t xml:space="preserve"> como media ideal de hijos </w:t>
      </w:r>
      <w:r w:rsidR="00D242E8">
        <w:rPr>
          <w:rFonts w:ascii="Arial Narrow" w:hAnsi="Arial Narrow"/>
          <w:sz w:val="28"/>
          <w:szCs w:val="28"/>
        </w:rPr>
        <w:t>una cifra de</w:t>
      </w:r>
      <w:r w:rsidR="00EE4B8F">
        <w:rPr>
          <w:rFonts w:ascii="Arial Narrow" w:hAnsi="Arial Narrow"/>
          <w:sz w:val="28"/>
          <w:szCs w:val="28"/>
        </w:rPr>
        <w:t xml:space="preserve"> 2,2. </w:t>
      </w:r>
    </w:p>
    <w:p w:rsidR="00EE4B8F" w:rsidRDefault="00EE4B8F" w:rsidP="007622D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7622D1" w:rsidRDefault="00EE4B8F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</w:t>
      </w:r>
      <w:r w:rsidR="007622D1">
        <w:rPr>
          <w:rFonts w:ascii="Arial Narrow" w:hAnsi="Arial Narrow"/>
          <w:sz w:val="28"/>
          <w:szCs w:val="28"/>
        </w:rPr>
        <w:t xml:space="preserve"> hablado de la trascendencia del progresivo re</w:t>
      </w:r>
      <w:r w:rsidR="00304471">
        <w:rPr>
          <w:rFonts w:ascii="Arial Narrow" w:hAnsi="Arial Narrow"/>
          <w:sz w:val="28"/>
          <w:szCs w:val="28"/>
        </w:rPr>
        <w:t>traso de la edad de maternidad -</w:t>
      </w:r>
      <w:r w:rsidR="007622D1">
        <w:rPr>
          <w:rFonts w:ascii="Arial Narrow" w:hAnsi="Arial Narrow"/>
          <w:sz w:val="28"/>
          <w:szCs w:val="28"/>
        </w:rPr>
        <w:t>actualmente 30,68 años para la primera maternidad</w:t>
      </w:r>
      <w:r w:rsidR="00304471">
        <w:rPr>
          <w:rFonts w:ascii="Arial Narrow" w:hAnsi="Arial Narrow"/>
          <w:sz w:val="28"/>
          <w:szCs w:val="28"/>
        </w:rPr>
        <w:t>, cuando en 1975 la edad media era de 25,25 años</w:t>
      </w:r>
      <w:r w:rsidR="007622D1">
        <w:rPr>
          <w:rFonts w:ascii="Arial Narrow" w:hAnsi="Arial Narrow"/>
          <w:sz w:val="28"/>
          <w:szCs w:val="28"/>
        </w:rPr>
        <w:t>- y la disminución de la pob</w:t>
      </w:r>
      <w:r w:rsidR="00FD3537">
        <w:rPr>
          <w:rFonts w:ascii="Arial Narrow" w:hAnsi="Arial Narrow"/>
          <w:sz w:val="28"/>
          <w:szCs w:val="28"/>
        </w:rPr>
        <w:t>lación femenina en edad fértil.</w:t>
      </w:r>
    </w:p>
    <w:p w:rsidR="00551D63" w:rsidRDefault="00551D63" w:rsidP="00551D63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551D63" w:rsidRPr="00FD3537" w:rsidRDefault="00551D63" w:rsidP="00551D63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Crecimiento</w:t>
      </w:r>
    </w:p>
    <w:p w:rsidR="007622D1" w:rsidRDefault="007622D1" w:rsidP="007622D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D242E8" w:rsidRDefault="007622D1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Estas circunstancias influyen en el cambio en la estructura </w:t>
      </w:r>
      <w:r w:rsidR="00D242E8">
        <w:rPr>
          <w:rFonts w:ascii="Arial Narrow" w:hAnsi="Arial Narrow"/>
          <w:sz w:val="28"/>
          <w:szCs w:val="28"/>
        </w:rPr>
        <w:t>por</w:t>
      </w:r>
      <w:r>
        <w:rPr>
          <w:rFonts w:ascii="Arial Narrow" w:hAnsi="Arial Narrow"/>
          <w:sz w:val="28"/>
          <w:szCs w:val="28"/>
        </w:rPr>
        <w:t xml:space="preserve"> edades </w:t>
      </w:r>
      <w:r w:rsidR="00D242E8">
        <w:rPr>
          <w:rFonts w:ascii="Arial Narrow" w:hAnsi="Arial Narrow"/>
          <w:sz w:val="28"/>
          <w:szCs w:val="28"/>
        </w:rPr>
        <w:t>de la población</w:t>
      </w:r>
      <w:r>
        <w:rPr>
          <w:rFonts w:ascii="Arial Narrow" w:hAnsi="Arial Narrow"/>
          <w:sz w:val="28"/>
          <w:szCs w:val="28"/>
        </w:rPr>
        <w:t xml:space="preserve">, con menor proporción de población activa, y, a su vez, en el crecimiento vegetativo. </w:t>
      </w:r>
    </w:p>
    <w:p w:rsidR="00D242E8" w:rsidRDefault="00D242E8" w:rsidP="007622D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FD3537" w:rsidRDefault="00EE4B8F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</w:t>
      </w:r>
      <w:r w:rsidR="007622D1">
        <w:rPr>
          <w:rFonts w:ascii="Arial Narrow" w:hAnsi="Arial Narrow"/>
          <w:sz w:val="28"/>
          <w:szCs w:val="28"/>
        </w:rPr>
        <w:t xml:space="preserve"> 2015 el número de defunciones s</w:t>
      </w:r>
      <w:r>
        <w:rPr>
          <w:rFonts w:ascii="Arial Narrow" w:hAnsi="Arial Narrow"/>
          <w:sz w:val="28"/>
          <w:szCs w:val="28"/>
        </w:rPr>
        <w:t xml:space="preserve">uperó al número de nacimientos y, </w:t>
      </w:r>
      <w:r w:rsidR="007622D1">
        <w:rPr>
          <w:rFonts w:ascii="Arial Narrow" w:hAnsi="Arial Narrow"/>
          <w:sz w:val="28"/>
          <w:szCs w:val="28"/>
        </w:rPr>
        <w:t xml:space="preserve">con la tendencia actual, los saldos vegetativos negativos se mantendrían, cada vez </w:t>
      </w:r>
      <w:r w:rsidR="007D2783">
        <w:rPr>
          <w:rFonts w:ascii="Arial Narrow" w:hAnsi="Arial Narrow"/>
          <w:sz w:val="28"/>
          <w:szCs w:val="28"/>
        </w:rPr>
        <w:t>con</w:t>
      </w:r>
      <w:r w:rsidR="00551D63">
        <w:rPr>
          <w:rFonts w:ascii="Arial Narrow" w:hAnsi="Arial Narrow"/>
          <w:sz w:val="28"/>
          <w:szCs w:val="28"/>
        </w:rPr>
        <w:t xml:space="preserve"> </w:t>
      </w:r>
      <w:r w:rsidR="007622D1">
        <w:rPr>
          <w:rFonts w:ascii="Arial Narrow" w:hAnsi="Arial Narrow"/>
          <w:sz w:val="28"/>
          <w:szCs w:val="28"/>
        </w:rPr>
        <w:t xml:space="preserve">mayor incidencia en los próximos años, mientras no se verían </w:t>
      </w:r>
      <w:r w:rsidR="00D242E8">
        <w:rPr>
          <w:rFonts w:ascii="Arial Narrow" w:hAnsi="Arial Narrow"/>
          <w:sz w:val="28"/>
          <w:szCs w:val="28"/>
        </w:rPr>
        <w:t xml:space="preserve">plenamente </w:t>
      </w:r>
      <w:r w:rsidR="007622D1">
        <w:rPr>
          <w:rFonts w:ascii="Arial Narrow" w:hAnsi="Arial Narrow"/>
          <w:sz w:val="28"/>
          <w:szCs w:val="28"/>
        </w:rPr>
        <w:t>compensados con el saldo migratorio, a pesar de las proyecciones positivas en este sentido.</w:t>
      </w:r>
      <w:r w:rsidR="00D242E8">
        <w:rPr>
          <w:rFonts w:ascii="Arial Narrow" w:hAnsi="Arial Narrow"/>
          <w:sz w:val="28"/>
          <w:szCs w:val="28"/>
        </w:rPr>
        <w:t xml:space="preserve"> Ello explicaría los cálculos que apuntan a la pérdida de medio millón de habitantes en 15 años y más de cinco millones en medio siglo.</w:t>
      </w:r>
    </w:p>
    <w:p w:rsidR="00EE45E4" w:rsidRDefault="00EE45E4" w:rsidP="007622D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EE45E4" w:rsidRPr="00EE45E4" w:rsidRDefault="00EE45E4" w:rsidP="007622D1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E45E4">
        <w:rPr>
          <w:rFonts w:ascii="Arial Narrow" w:hAnsi="Arial Narrow"/>
          <w:b/>
          <w:sz w:val="28"/>
          <w:szCs w:val="28"/>
          <w:u w:val="single"/>
        </w:rPr>
        <w:t>Despoblación</w:t>
      </w:r>
    </w:p>
    <w:p w:rsidR="00EE45E4" w:rsidRDefault="00EE45E4" w:rsidP="00EE45E4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EE45E4" w:rsidRDefault="00EE45E4" w:rsidP="00EE45E4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Comisionada se ha referido también a cómo en algunas regiones se viene percibiendo esta tendencia con una especial incidencia, de forma que en 2015 fueron 10 las Comunidades Autónomas que registraron saldos vegetativos negativos. </w:t>
      </w:r>
      <w:r w:rsidR="00D242E8">
        <w:rPr>
          <w:rFonts w:ascii="Arial Narrow" w:hAnsi="Arial Narrow"/>
          <w:sz w:val="28"/>
          <w:szCs w:val="28"/>
        </w:rPr>
        <w:t xml:space="preserve">Y, en la medida en que se atiende a nivel provincial y municipal, se perciben con claridad los problemas de despoblación. </w:t>
      </w:r>
    </w:p>
    <w:p w:rsidR="00D242E8" w:rsidRPr="00D242E8" w:rsidRDefault="00D242E8" w:rsidP="00D242E8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D242E8" w:rsidRPr="00D242E8" w:rsidRDefault="00D242E8" w:rsidP="00D242E8">
      <w:pPr>
        <w:ind w:left="2127"/>
        <w:jc w:val="both"/>
        <w:rPr>
          <w:rFonts w:ascii="Arial Narrow" w:hAnsi="Arial Narrow"/>
          <w:sz w:val="28"/>
          <w:szCs w:val="28"/>
        </w:rPr>
      </w:pPr>
      <w:r w:rsidRPr="00D242E8">
        <w:rPr>
          <w:rFonts w:ascii="Arial Narrow" w:hAnsi="Arial Narrow"/>
          <w:sz w:val="28"/>
          <w:szCs w:val="28"/>
        </w:rPr>
        <w:lastRenderedPageBreak/>
        <w:t xml:space="preserve">En 14 provincias, más del 80% de todos sus municipios no pasan de 1.000 habitantes. Cada vez son más los ayuntamientos que no superan esta cifra. Según la reciente estadística del Padrón Continuo, </w:t>
      </w:r>
      <w:r>
        <w:rPr>
          <w:rFonts w:ascii="Arial Narrow" w:hAnsi="Arial Narrow"/>
          <w:sz w:val="28"/>
          <w:szCs w:val="28"/>
        </w:rPr>
        <w:t>cerca de 5.000. Y más a</w:t>
      </w:r>
      <w:r w:rsidRPr="00D242E8">
        <w:rPr>
          <w:rFonts w:ascii="Arial Narrow" w:hAnsi="Arial Narrow"/>
          <w:sz w:val="28"/>
          <w:szCs w:val="28"/>
        </w:rPr>
        <w:t>cuciante incluso es la situación de los municipios qu</w:t>
      </w:r>
      <w:r>
        <w:rPr>
          <w:rFonts w:ascii="Arial Narrow" w:hAnsi="Arial Narrow"/>
          <w:sz w:val="28"/>
          <w:szCs w:val="28"/>
        </w:rPr>
        <w:t xml:space="preserve">e no pasan de 100 empadronados y </w:t>
      </w:r>
      <w:r w:rsidRPr="00D242E8">
        <w:rPr>
          <w:rFonts w:ascii="Arial Narrow" w:hAnsi="Arial Narrow"/>
          <w:sz w:val="28"/>
          <w:szCs w:val="28"/>
        </w:rPr>
        <w:t>con censos demo</w:t>
      </w:r>
      <w:r>
        <w:rPr>
          <w:rFonts w:ascii="Arial Narrow" w:hAnsi="Arial Narrow"/>
          <w:sz w:val="28"/>
          <w:szCs w:val="28"/>
        </w:rPr>
        <w:t>gráficos altamente envejecidos</w:t>
      </w:r>
      <w:r w:rsidRPr="00D242E8">
        <w:rPr>
          <w:rFonts w:ascii="Arial Narrow" w:hAnsi="Arial Narrow"/>
          <w:sz w:val="28"/>
          <w:szCs w:val="28"/>
        </w:rPr>
        <w:t xml:space="preserve">. </w:t>
      </w:r>
    </w:p>
    <w:p w:rsidR="00EE45E4" w:rsidRDefault="00EE45E4" w:rsidP="00371C52">
      <w:pPr>
        <w:jc w:val="both"/>
        <w:rPr>
          <w:rFonts w:ascii="Arial Narrow" w:hAnsi="Arial Narrow"/>
          <w:sz w:val="28"/>
          <w:szCs w:val="28"/>
        </w:rPr>
      </w:pPr>
    </w:p>
    <w:p w:rsidR="007622D1" w:rsidRDefault="007622D1" w:rsidP="007622D1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49373B">
        <w:rPr>
          <w:rFonts w:ascii="Arial Narrow" w:hAnsi="Arial Narrow"/>
          <w:b/>
          <w:sz w:val="28"/>
          <w:szCs w:val="28"/>
          <w:u w:val="single"/>
        </w:rPr>
        <w:t xml:space="preserve">Líneas de trabajo </w:t>
      </w:r>
    </w:p>
    <w:p w:rsidR="007622D1" w:rsidRDefault="007622D1" w:rsidP="00371C52">
      <w:pPr>
        <w:jc w:val="both"/>
        <w:rPr>
          <w:rFonts w:ascii="Arial Narrow" w:hAnsi="Arial Narrow"/>
          <w:b/>
          <w:sz w:val="28"/>
          <w:szCs w:val="28"/>
        </w:rPr>
      </w:pPr>
    </w:p>
    <w:p w:rsidR="00D242E8" w:rsidRPr="00D242E8" w:rsidRDefault="007622D1" w:rsidP="00D242E8">
      <w:pPr>
        <w:ind w:left="2127"/>
        <w:jc w:val="both"/>
        <w:rPr>
          <w:rFonts w:ascii="Arial Narrow" w:hAnsi="Arial Narrow"/>
          <w:sz w:val="28"/>
          <w:szCs w:val="28"/>
        </w:rPr>
      </w:pPr>
      <w:r w:rsidRPr="0082796B">
        <w:rPr>
          <w:rFonts w:ascii="Arial Narrow" w:hAnsi="Arial Narrow"/>
          <w:sz w:val="28"/>
          <w:szCs w:val="28"/>
        </w:rPr>
        <w:t xml:space="preserve">La comisionada ha insistido en la necesaria colaboración de todas las Administraciones Públicas para afrontar la situación, </w:t>
      </w:r>
      <w:r w:rsidR="00D242E8">
        <w:rPr>
          <w:rFonts w:ascii="Arial Narrow" w:hAnsi="Arial Narrow"/>
          <w:sz w:val="28"/>
          <w:szCs w:val="28"/>
        </w:rPr>
        <w:t xml:space="preserve">partiendo de la necesidad de ser </w:t>
      </w:r>
      <w:r w:rsidR="00D242E8" w:rsidRPr="00D242E8">
        <w:rPr>
          <w:rFonts w:ascii="Arial Narrow" w:hAnsi="Arial Narrow"/>
          <w:sz w:val="28"/>
          <w:szCs w:val="28"/>
        </w:rPr>
        <w:t xml:space="preserve">conscientes pero no conformistas frente al cambio demográfico. </w:t>
      </w:r>
    </w:p>
    <w:p w:rsidR="007622D1" w:rsidRDefault="007622D1" w:rsidP="00D242E8">
      <w:pPr>
        <w:jc w:val="both"/>
        <w:rPr>
          <w:rFonts w:ascii="Arial Narrow" w:hAnsi="Arial Narrow"/>
          <w:sz w:val="28"/>
          <w:szCs w:val="28"/>
        </w:rPr>
      </w:pPr>
    </w:p>
    <w:p w:rsidR="007622D1" w:rsidRDefault="007622D1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la colaboración de las distintas AAPP, ha recordado, se ha constituido un Grupo de Trabajo, con representación del Gobierno, todas las CCAA y la FEMP, que ha comenzado a trabajar para abordar distintos aspectos.</w:t>
      </w:r>
    </w:p>
    <w:p w:rsidR="007622D1" w:rsidRDefault="007622D1" w:rsidP="00D242E8">
      <w:pPr>
        <w:jc w:val="both"/>
        <w:rPr>
          <w:rFonts w:ascii="Arial Narrow" w:hAnsi="Arial Narrow"/>
          <w:sz w:val="28"/>
          <w:szCs w:val="28"/>
        </w:rPr>
      </w:pPr>
    </w:p>
    <w:p w:rsidR="007622D1" w:rsidRDefault="005F7DE6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Ya se están abordando asuntos concretos en las reuniones, el primero de los asuntos, </w:t>
      </w:r>
      <w:r w:rsidR="00D242E8">
        <w:rPr>
          <w:rFonts w:ascii="Arial Narrow" w:hAnsi="Arial Narrow"/>
          <w:sz w:val="28"/>
          <w:szCs w:val="28"/>
        </w:rPr>
        <w:t>la atención al proceso envejecimiento y la creciente</w:t>
      </w:r>
      <w:r w:rsidR="007622D1">
        <w:rPr>
          <w:rFonts w:ascii="Arial Narrow" w:hAnsi="Arial Narrow"/>
          <w:sz w:val="28"/>
          <w:szCs w:val="28"/>
        </w:rPr>
        <w:t xml:space="preserve"> longevidad, apostando por el envejecimiento saludable y activo. Teniendo en cuenta las necesidades de las personas mayores; tanto como su plena participación en todos los ámbitos sociales, </w:t>
      </w:r>
      <w:r w:rsidR="00D242E8">
        <w:rPr>
          <w:rFonts w:ascii="Arial Narrow" w:hAnsi="Arial Narrow"/>
          <w:sz w:val="28"/>
          <w:szCs w:val="28"/>
        </w:rPr>
        <w:t>tanto como</w:t>
      </w:r>
      <w:r w:rsidR="007622D1">
        <w:rPr>
          <w:rFonts w:ascii="Arial Narrow" w:hAnsi="Arial Narrow"/>
          <w:sz w:val="28"/>
          <w:szCs w:val="28"/>
        </w:rPr>
        <w:t xml:space="preserve"> la solidaridad intergeneracional. </w:t>
      </w:r>
    </w:p>
    <w:p w:rsidR="007622D1" w:rsidRDefault="007622D1" w:rsidP="00D242E8">
      <w:pPr>
        <w:jc w:val="both"/>
        <w:rPr>
          <w:rFonts w:ascii="Arial Narrow" w:hAnsi="Arial Narrow"/>
          <w:sz w:val="28"/>
          <w:szCs w:val="28"/>
        </w:rPr>
      </w:pPr>
    </w:p>
    <w:p w:rsidR="007622D1" w:rsidRPr="005F7DE6" w:rsidRDefault="00371C52" w:rsidP="007622D1">
      <w:pPr>
        <w:ind w:left="2127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También ha </w:t>
      </w:r>
      <w:r w:rsidR="007D2783">
        <w:rPr>
          <w:rFonts w:ascii="Arial Narrow" w:hAnsi="Arial Narrow"/>
          <w:sz w:val="28"/>
          <w:szCs w:val="28"/>
        </w:rPr>
        <w:t>destacado</w:t>
      </w:r>
      <w:r w:rsidR="007622D1">
        <w:rPr>
          <w:rFonts w:ascii="Arial Narrow" w:hAnsi="Arial Narrow"/>
          <w:sz w:val="28"/>
          <w:szCs w:val="28"/>
        </w:rPr>
        <w:t xml:space="preserve"> muy especialmente, la importancia de los jóvenes, de forma que puedan contar con más oportunidades</w:t>
      </w:r>
      <w:r>
        <w:rPr>
          <w:rFonts w:ascii="Arial Narrow" w:hAnsi="Arial Narrow"/>
          <w:sz w:val="28"/>
          <w:szCs w:val="28"/>
        </w:rPr>
        <w:t xml:space="preserve"> </w:t>
      </w:r>
      <w:r w:rsidR="007622D1">
        <w:rPr>
          <w:rFonts w:ascii="Arial Narrow" w:hAnsi="Arial Narrow"/>
          <w:sz w:val="28"/>
          <w:szCs w:val="28"/>
        </w:rPr>
        <w:t>para desarrollar su proyecto de vida y configurar las familias del futuro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7622D1" w:rsidRDefault="007622D1" w:rsidP="00371C52">
      <w:pPr>
        <w:jc w:val="both"/>
        <w:rPr>
          <w:rFonts w:ascii="Arial Narrow" w:hAnsi="Arial Narrow"/>
          <w:sz w:val="28"/>
          <w:szCs w:val="28"/>
        </w:rPr>
      </w:pPr>
    </w:p>
    <w:p w:rsidR="007622D1" w:rsidRDefault="00371C52" w:rsidP="007622D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este sentido,</w:t>
      </w:r>
      <w:r w:rsidR="007D2783">
        <w:rPr>
          <w:rFonts w:ascii="Arial Narrow" w:hAnsi="Arial Narrow"/>
          <w:sz w:val="28"/>
          <w:szCs w:val="28"/>
        </w:rPr>
        <w:t xml:space="preserve"> ha recordado</w:t>
      </w:r>
      <w:r w:rsidR="007622D1">
        <w:rPr>
          <w:rFonts w:ascii="Arial Narrow" w:hAnsi="Arial Narrow"/>
          <w:sz w:val="28"/>
          <w:szCs w:val="28"/>
        </w:rPr>
        <w:t xml:space="preserve"> la importancia de prestar especial atención </w:t>
      </w:r>
      <w:r w:rsidR="007D2783">
        <w:rPr>
          <w:rFonts w:ascii="Arial Narrow" w:hAnsi="Arial Narrow"/>
          <w:sz w:val="28"/>
          <w:szCs w:val="28"/>
        </w:rPr>
        <w:t xml:space="preserve">y apoyo </w:t>
      </w:r>
      <w:r w:rsidR="007622D1">
        <w:rPr>
          <w:rFonts w:ascii="Arial Narrow" w:hAnsi="Arial Narrow"/>
          <w:sz w:val="28"/>
          <w:szCs w:val="28"/>
        </w:rPr>
        <w:t xml:space="preserve">a las familias, y generar las condiciones favorables para que los españoles puedan tener los hijos que desean. </w:t>
      </w:r>
      <w:r w:rsidR="007D2783">
        <w:rPr>
          <w:rFonts w:ascii="Arial Narrow" w:hAnsi="Arial Narrow"/>
          <w:sz w:val="28"/>
          <w:szCs w:val="28"/>
        </w:rPr>
        <w:t>Ha planteado</w:t>
      </w:r>
      <w:r w:rsidR="007622D1">
        <w:rPr>
          <w:rFonts w:ascii="Arial Narrow" w:hAnsi="Arial Narrow"/>
          <w:sz w:val="28"/>
          <w:szCs w:val="28"/>
        </w:rPr>
        <w:t xml:space="preserve"> la conveniencia de reconocer a l</w:t>
      </w:r>
      <w:r w:rsidR="007D2783">
        <w:rPr>
          <w:rFonts w:ascii="Arial Narrow" w:hAnsi="Arial Narrow"/>
          <w:sz w:val="28"/>
          <w:szCs w:val="28"/>
        </w:rPr>
        <w:t>as familias su importante aportación</w:t>
      </w:r>
      <w:r w:rsidR="007622D1">
        <w:rPr>
          <w:rFonts w:ascii="Arial Narrow" w:hAnsi="Arial Narrow"/>
          <w:sz w:val="28"/>
          <w:szCs w:val="28"/>
        </w:rPr>
        <w:t xml:space="preserve"> a la sociedad y </w:t>
      </w:r>
      <w:r w:rsidR="007D2783">
        <w:rPr>
          <w:rFonts w:ascii="Arial Narrow" w:hAnsi="Arial Narrow"/>
          <w:sz w:val="28"/>
          <w:szCs w:val="28"/>
        </w:rPr>
        <w:t xml:space="preserve">la necesidad de </w:t>
      </w:r>
      <w:r w:rsidR="007622D1">
        <w:rPr>
          <w:rFonts w:ascii="Arial Narrow" w:hAnsi="Arial Narrow"/>
          <w:sz w:val="28"/>
          <w:szCs w:val="28"/>
        </w:rPr>
        <w:t xml:space="preserve">trabajar por la conciliación de la vida laboral personal, laboral y familiar y también de la corresponsabilidad. </w:t>
      </w:r>
    </w:p>
    <w:p w:rsidR="007622D1" w:rsidRDefault="007622D1" w:rsidP="007622D1">
      <w:pPr>
        <w:jc w:val="both"/>
        <w:rPr>
          <w:rFonts w:ascii="Arial Narrow" w:hAnsi="Arial Narrow"/>
          <w:sz w:val="28"/>
          <w:szCs w:val="28"/>
        </w:rPr>
      </w:pPr>
    </w:p>
    <w:p w:rsidR="00D9583F" w:rsidRPr="003E43CA" w:rsidRDefault="00115B05" w:rsidP="003E43CA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ha referido </w:t>
      </w:r>
      <w:r w:rsidR="007622D1">
        <w:rPr>
          <w:rFonts w:ascii="Arial Narrow" w:hAnsi="Arial Narrow"/>
          <w:sz w:val="28"/>
          <w:szCs w:val="28"/>
        </w:rPr>
        <w:t xml:space="preserve">a la preocupación por la situación en las zonas con pérdidas de población, y la necesidad de actuar con la colaboración de todas las Administraciones, desde sus respectivos ámbitos competenciales, para </w:t>
      </w:r>
      <w:r w:rsidR="00371C52">
        <w:rPr>
          <w:rFonts w:ascii="Arial Narrow" w:hAnsi="Arial Narrow"/>
          <w:sz w:val="28"/>
          <w:szCs w:val="28"/>
        </w:rPr>
        <w:t xml:space="preserve">facilitar oportunidades, </w:t>
      </w:r>
      <w:r w:rsidR="007622D1">
        <w:rPr>
          <w:rFonts w:ascii="Arial Narrow" w:hAnsi="Arial Narrow"/>
          <w:sz w:val="28"/>
          <w:szCs w:val="28"/>
        </w:rPr>
        <w:t>posibilidades de desarrollo</w:t>
      </w:r>
      <w:r w:rsidR="00371C52">
        <w:rPr>
          <w:rFonts w:ascii="Arial Narrow" w:hAnsi="Arial Narrow"/>
          <w:sz w:val="28"/>
          <w:szCs w:val="28"/>
        </w:rPr>
        <w:t xml:space="preserve"> y acceso a los servicios</w:t>
      </w:r>
      <w:r w:rsidR="007622D1">
        <w:rPr>
          <w:rFonts w:ascii="Arial Narrow" w:hAnsi="Arial Narrow"/>
          <w:sz w:val="28"/>
          <w:szCs w:val="28"/>
        </w:rPr>
        <w:t>.</w:t>
      </w:r>
    </w:p>
    <w:sectPr w:rsidR="00D9583F" w:rsidRPr="003E43CA" w:rsidSect="00115B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707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64" w:rsidRDefault="00BF0064">
      <w:r>
        <w:separator/>
      </w:r>
    </w:p>
  </w:endnote>
  <w:endnote w:type="continuationSeparator" w:id="0">
    <w:p w:rsidR="00BF0064" w:rsidRDefault="00BF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BC16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BC162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BC1627">
            <w:rPr>
              <w:sz w:val="20"/>
            </w:rPr>
            <w:fldChar w:fldCharType="separate"/>
          </w:r>
          <w:r w:rsidR="00F23705">
            <w:rPr>
              <w:noProof/>
              <w:sz w:val="20"/>
            </w:rPr>
            <w:t>2</w:t>
          </w:r>
          <w:r w:rsidR="00BC162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BC162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BC1627">
            <w:rPr>
              <w:sz w:val="20"/>
            </w:rPr>
            <w:fldChar w:fldCharType="separate"/>
          </w:r>
          <w:r w:rsidR="00F23705">
            <w:rPr>
              <w:noProof/>
              <w:sz w:val="20"/>
            </w:rPr>
            <w:t>3</w:t>
          </w:r>
          <w:r w:rsidR="00BC1627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BC162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BC1627">
            <w:rPr>
              <w:sz w:val="20"/>
            </w:rPr>
            <w:fldChar w:fldCharType="separate"/>
          </w:r>
          <w:r w:rsidR="00F23705">
            <w:rPr>
              <w:noProof/>
              <w:sz w:val="20"/>
            </w:rPr>
            <w:t>1</w:t>
          </w:r>
          <w:r w:rsidR="00BC162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BC162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BC1627">
            <w:rPr>
              <w:sz w:val="20"/>
            </w:rPr>
            <w:fldChar w:fldCharType="separate"/>
          </w:r>
          <w:r w:rsidR="00F23705">
            <w:rPr>
              <w:noProof/>
              <w:sz w:val="20"/>
            </w:rPr>
            <w:t>3</w:t>
          </w:r>
          <w:r w:rsidR="00BC1627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64" w:rsidRDefault="00BF0064">
      <w:r>
        <w:separator/>
      </w:r>
    </w:p>
  </w:footnote>
  <w:footnote w:type="continuationSeparator" w:id="0">
    <w:p w:rsidR="00BF0064" w:rsidRDefault="00BF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6308"/>
      <w:gridCol w:w="3473"/>
    </w:tblGrid>
    <w:tr w:rsidR="006F0529" w:rsidTr="00D508FC">
      <w:trPr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59.3pt" o:ole="" fillcolor="window">
                <v:imagedata r:id="rId1" o:title=""/>
              </v:shape>
              <o:OLEObject Type="Embed" ProgID="Word.Picture.8" ShapeID="_x0000_i1025" DrawAspect="Content" ObjectID="_1559395918" r:id="rId2"/>
            </w:object>
          </w:r>
        </w:p>
      </w:tc>
      <w:tc>
        <w:tcPr>
          <w:tcW w:w="6308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Pr="00D508FC" w:rsidRDefault="00D508FC" w:rsidP="00D508FC">
          <w:pPr>
            <w:pStyle w:val="Encabezado"/>
            <w:tabs>
              <w:tab w:val="clear" w:pos="4252"/>
              <w:tab w:val="left" w:pos="2765"/>
              <w:tab w:val="left" w:pos="6521"/>
            </w:tabs>
            <w:spacing w:after="240"/>
            <w:ind w:right="426"/>
            <w:rPr>
              <w:kern w:val="16"/>
              <w:szCs w:val="24"/>
            </w:rPr>
          </w:pPr>
          <w:r w:rsidRPr="00D508FC">
            <w:rPr>
              <w:rFonts w:ascii="Gill Sans MT" w:hAnsi="Gill Sans MT"/>
              <w:kern w:val="16"/>
              <w:szCs w:val="24"/>
            </w:rPr>
            <w:t>Comisionado del Gobierno frente al Reto Demográfico</w:t>
          </w:r>
        </w:p>
      </w:tc>
    </w:tr>
    <w:tr w:rsidR="006F0529" w:rsidTr="00D508FC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308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5755E" w:rsidRDefault="0065755E" w:rsidP="00F23705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18F06EAE"/>
    <w:multiLevelType w:val="hybridMultilevel"/>
    <w:tmpl w:val="3316571A"/>
    <w:lvl w:ilvl="0" w:tplc="5D6668BA">
      <w:start w:val="4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43910"/>
    <w:multiLevelType w:val="hybridMultilevel"/>
    <w:tmpl w:val="B890E9AA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5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>
    <w:nsid w:val="57300F33"/>
    <w:multiLevelType w:val="hybridMultilevel"/>
    <w:tmpl w:val="979E3248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4"/>
  </w:num>
  <w:num w:numId="4">
    <w:abstractNumId w:val="31"/>
  </w:num>
  <w:num w:numId="5">
    <w:abstractNumId w:val="0"/>
  </w:num>
  <w:num w:numId="6">
    <w:abstractNumId w:val="1"/>
  </w:num>
  <w:num w:numId="7">
    <w:abstractNumId w:val="27"/>
  </w:num>
  <w:num w:numId="8">
    <w:abstractNumId w:val="7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8"/>
  </w:num>
  <w:num w:numId="14">
    <w:abstractNumId w:val="4"/>
  </w:num>
  <w:num w:numId="15">
    <w:abstractNumId w:val="15"/>
  </w:num>
  <w:num w:numId="16">
    <w:abstractNumId w:val="23"/>
  </w:num>
  <w:num w:numId="17">
    <w:abstractNumId w:val="5"/>
  </w:num>
  <w:num w:numId="18">
    <w:abstractNumId w:val="29"/>
  </w:num>
  <w:num w:numId="19">
    <w:abstractNumId w:val="13"/>
  </w:num>
  <w:num w:numId="20">
    <w:abstractNumId w:val="21"/>
  </w:num>
  <w:num w:numId="21">
    <w:abstractNumId w:val="30"/>
  </w:num>
  <w:num w:numId="22">
    <w:abstractNumId w:val="24"/>
  </w:num>
  <w:num w:numId="23">
    <w:abstractNumId w:val="20"/>
  </w:num>
  <w:num w:numId="24">
    <w:abstractNumId w:val="19"/>
  </w:num>
  <w:num w:numId="25">
    <w:abstractNumId w:val="25"/>
  </w:num>
  <w:num w:numId="26">
    <w:abstractNumId w:val="16"/>
  </w:num>
  <w:num w:numId="27">
    <w:abstractNumId w:val="26"/>
  </w:num>
  <w:num w:numId="28">
    <w:abstractNumId w:val="18"/>
  </w:num>
  <w:num w:numId="29">
    <w:abstractNumId w:val="3"/>
  </w:num>
  <w:num w:numId="30">
    <w:abstractNumId w:val="28"/>
  </w:num>
  <w:num w:numId="31">
    <w:abstractNumId w:val="2"/>
  </w:num>
  <w:num w:numId="32">
    <w:abstractNumId w:val="32"/>
  </w:num>
  <w:num w:numId="33">
    <w:abstractNumId w:val="12"/>
  </w:num>
  <w:num w:numId="34">
    <w:abstractNumId w:val="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149C9"/>
    <w:rsid w:val="000236E7"/>
    <w:rsid w:val="000253A7"/>
    <w:rsid w:val="00025FD2"/>
    <w:rsid w:val="00027FA1"/>
    <w:rsid w:val="000327FE"/>
    <w:rsid w:val="00035376"/>
    <w:rsid w:val="0003615A"/>
    <w:rsid w:val="00042942"/>
    <w:rsid w:val="00050ACE"/>
    <w:rsid w:val="0005265F"/>
    <w:rsid w:val="00071994"/>
    <w:rsid w:val="0009583E"/>
    <w:rsid w:val="000A7BEA"/>
    <w:rsid w:val="000C1117"/>
    <w:rsid w:val="000C7FA0"/>
    <w:rsid w:val="000D1A2A"/>
    <w:rsid w:val="000E1C2A"/>
    <w:rsid w:val="000E2470"/>
    <w:rsid w:val="000E2AD6"/>
    <w:rsid w:val="000E5254"/>
    <w:rsid w:val="000E65B4"/>
    <w:rsid w:val="000F15DD"/>
    <w:rsid w:val="001028F0"/>
    <w:rsid w:val="00103EB4"/>
    <w:rsid w:val="00110187"/>
    <w:rsid w:val="00115B05"/>
    <w:rsid w:val="00134A12"/>
    <w:rsid w:val="00153EFF"/>
    <w:rsid w:val="001630B7"/>
    <w:rsid w:val="001778F0"/>
    <w:rsid w:val="0019632B"/>
    <w:rsid w:val="001964EB"/>
    <w:rsid w:val="001A0CF7"/>
    <w:rsid w:val="001A1444"/>
    <w:rsid w:val="001A33CB"/>
    <w:rsid w:val="001A4BA9"/>
    <w:rsid w:val="001B199C"/>
    <w:rsid w:val="001B64DE"/>
    <w:rsid w:val="001C41A3"/>
    <w:rsid w:val="001C532F"/>
    <w:rsid w:val="001C6091"/>
    <w:rsid w:val="001D12ED"/>
    <w:rsid w:val="001E1548"/>
    <w:rsid w:val="001E6004"/>
    <w:rsid w:val="002024A4"/>
    <w:rsid w:val="00207791"/>
    <w:rsid w:val="0021516E"/>
    <w:rsid w:val="0021785B"/>
    <w:rsid w:val="00223E48"/>
    <w:rsid w:val="0023679A"/>
    <w:rsid w:val="00236989"/>
    <w:rsid w:val="002412DD"/>
    <w:rsid w:val="002421FC"/>
    <w:rsid w:val="00244954"/>
    <w:rsid w:val="00247E66"/>
    <w:rsid w:val="00251401"/>
    <w:rsid w:val="00256ECC"/>
    <w:rsid w:val="00261E77"/>
    <w:rsid w:val="00263A9E"/>
    <w:rsid w:val="00281B2E"/>
    <w:rsid w:val="002A2626"/>
    <w:rsid w:val="002A27E8"/>
    <w:rsid w:val="002A319D"/>
    <w:rsid w:val="002A551E"/>
    <w:rsid w:val="002C4EFC"/>
    <w:rsid w:val="002E664D"/>
    <w:rsid w:val="002E7C5F"/>
    <w:rsid w:val="002F0AE6"/>
    <w:rsid w:val="002F2F7C"/>
    <w:rsid w:val="002F3004"/>
    <w:rsid w:val="002F42A1"/>
    <w:rsid w:val="003020F4"/>
    <w:rsid w:val="00304471"/>
    <w:rsid w:val="00322582"/>
    <w:rsid w:val="00343363"/>
    <w:rsid w:val="00351E6A"/>
    <w:rsid w:val="00353F88"/>
    <w:rsid w:val="003708A9"/>
    <w:rsid w:val="00371C52"/>
    <w:rsid w:val="00391C0A"/>
    <w:rsid w:val="003A0090"/>
    <w:rsid w:val="003A06DC"/>
    <w:rsid w:val="003B5999"/>
    <w:rsid w:val="003C38BD"/>
    <w:rsid w:val="003C77BE"/>
    <w:rsid w:val="003D772A"/>
    <w:rsid w:val="003D7DDC"/>
    <w:rsid w:val="003E1C05"/>
    <w:rsid w:val="003E43CA"/>
    <w:rsid w:val="003F6CF4"/>
    <w:rsid w:val="00412903"/>
    <w:rsid w:val="0041594A"/>
    <w:rsid w:val="00421BEA"/>
    <w:rsid w:val="00440100"/>
    <w:rsid w:val="004656EE"/>
    <w:rsid w:val="004921A5"/>
    <w:rsid w:val="0049373B"/>
    <w:rsid w:val="0049543F"/>
    <w:rsid w:val="004C13E6"/>
    <w:rsid w:val="004C5C74"/>
    <w:rsid w:val="004D06B4"/>
    <w:rsid w:val="004D3E2C"/>
    <w:rsid w:val="00500E8F"/>
    <w:rsid w:val="00511199"/>
    <w:rsid w:val="005413C8"/>
    <w:rsid w:val="0054140D"/>
    <w:rsid w:val="00541BB7"/>
    <w:rsid w:val="00551D63"/>
    <w:rsid w:val="005575ED"/>
    <w:rsid w:val="005628EB"/>
    <w:rsid w:val="00563534"/>
    <w:rsid w:val="00565B42"/>
    <w:rsid w:val="0057406C"/>
    <w:rsid w:val="00574754"/>
    <w:rsid w:val="005945F6"/>
    <w:rsid w:val="005A6181"/>
    <w:rsid w:val="005B2EDF"/>
    <w:rsid w:val="005B4E71"/>
    <w:rsid w:val="005C67F2"/>
    <w:rsid w:val="005E5D1E"/>
    <w:rsid w:val="005F531E"/>
    <w:rsid w:val="005F7DE6"/>
    <w:rsid w:val="00603290"/>
    <w:rsid w:val="00606058"/>
    <w:rsid w:val="00624D9C"/>
    <w:rsid w:val="00634842"/>
    <w:rsid w:val="00637899"/>
    <w:rsid w:val="00645147"/>
    <w:rsid w:val="006522FC"/>
    <w:rsid w:val="0065755E"/>
    <w:rsid w:val="0066570B"/>
    <w:rsid w:val="00667EE8"/>
    <w:rsid w:val="006842EC"/>
    <w:rsid w:val="006A5F53"/>
    <w:rsid w:val="006B071B"/>
    <w:rsid w:val="006C0F7F"/>
    <w:rsid w:val="006C14D9"/>
    <w:rsid w:val="006C7E93"/>
    <w:rsid w:val="006F0529"/>
    <w:rsid w:val="00705AB9"/>
    <w:rsid w:val="0070663F"/>
    <w:rsid w:val="00722701"/>
    <w:rsid w:val="00732210"/>
    <w:rsid w:val="00735798"/>
    <w:rsid w:val="0073681D"/>
    <w:rsid w:val="00736BF9"/>
    <w:rsid w:val="00743BCE"/>
    <w:rsid w:val="00745DD4"/>
    <w:rsid w:val="0075241F"/>
    <w:rsid w:val="007567FD"/>
    <w:rsid w:val="007622D1"/>
    <w:rsid w:val="0076281A"/>
    <w:rsid w:val="00767109"/>
    <w:rsid w:val="00774547"/>
    <w:rsid w:val="00777DAA"/>
    <w:rsid w:val="00795D69"/>
    <w:rsid w:val="007A1836"/>
    <w:rsid w:val="007D2783"/>
    <w:rsid w:val="007D35ED"/>
    <w:rsid w:val="007D7FB0"/>
    <w:rsid w:val="00810BF1"/>
    <w:rsid w:val="00813F4A"/>
    <w:rsid w:val="00814F1E"/>
    <w:rsid w:val="00817FFE"/>
    <w:rsid w:val="00820F6F"/>
    <w:rsid w:val="0082796B"/>
    <w:rsid w:val="00837699"/>
    <w:rsid w:val="00846B86"/>
    <w:rsid w:val="0085155F"/>
    <w:rsid w:val="00861B9B"/>
    <w:rsid w:val="00870FC2"/>
    <w:rsid w:val="00873C47"/>
    <w:rsid w:val="0089127E"/>
    <w:rsid w:val="008939B1"/>
    <w:rsid w:val="008A19DB"/>
    <w:rsid w:val="008A5360"/>
    <w:rsid w:val="008A68DE"/>
    <w:rsid w:val="008B4788"/>
    <w:rsid w:val="008B6A31"/>
    <w:rsid w:val="008E1578"/>
    <w:rsid w:val="008E5658"/>
    <w:rsid w:val="008F3950"/>
    <w:rsid w:val="00901A78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A382B"/>
    <w:rsid w:val="009C1BBD"/>
    <w:rsid w:val="009C6577"/>
    <w:rsid w:val="009E4934"/>
    <w:rsid w:val="00A03410"/>
    <w:rsid w:val="00A0758E"/>
    <w:rsid w:val="00A156D6"/>
    <w:rsid w:val="00A15B16"/>
    <w:rsid w:val="00A211A1"/>
    <w:rsid w:val="00A567E7"/>
    <w:rsid w:val="00A65ADD"/>
    <w:rsid w:val="00A6664C"/>
    <w:rsid w:val="00A80EEE"/>
    <w:rsid w:val="00A871A8"/>
    <w:rsid w:val="00AA37F8"/>
    <w:rsid w:val="00AB566B"/>
    <w:rsid w:val="00AB72EA"/>
    <w:rsid w:val="00B107C7"/>
    <w:rsid w:val="00B16649"/>
    <w:rsid w:val="00B16CA9"/>
    <w:rsid w:val="00B328D8"/>
    <w:rsid w:val="00B4057B"/>
    <w:rsid w:val="00B50804"/>
    <w:rsid w:val="00B50FF9"/>
    <w:rsid w:val="00B51910"/>
    <w:rsid w:val="00B530E9"/>
    <w:rsid w:val="00B67FE2"/>
    <w:rsid w:val="00B71CF5"/>
    <w:rsid w:val="00B81427"/>
    <w:rsid w:val="00B81B0B"/>
    <w:rsid w:val="00B86B3D"/>
    <w:rsid w:val="00BA2961"/>
    <w:rsid w:val="00BC1627"/>
    <w:rsid w:val="00BC5471"/>
    <w:rsid w:val="00BC5D55"/>
    <w:rsid w:val="00BE3384"/>
    <w:rsid w:val="00BF0064"/>
    <w:rsid w:val="00BF1296"/>
    <w:rsid w:val="00C0137C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591F"/>
    <w:rsid w:val="00C73A7A"/>
    <w:rsid w:val="00C73EF2"/>
    <w:rsid w:val="00C73F0D"/>
    <w:rsid w:val="00C75C2E"/>
    <w:rsid w:val="00C9522E"/>
    <w:rsid w:val="00CB149A"/>
    <w:rsid w:val="00CB1A55"/>
    <w:rsid w:val="00CC359B"/>
    <w:rsid w:val="00CD4CC5"/>
    <w:rsid w:val="00CF609F"/>
    <w:rsid w:val="00D00764"/>
    <w:rsid w:val="00D17993"/>
    <w:rsid w:val="00D23013"/>
    <w:rsid w:val="00D242E8"/>
    <w:rsid w:val="00D31CEC"/>
    <w:rsid w:val="00D41B9E"/>
    <w:rsid w:val="00D42800"/>
    <w:rsid w:val="00D508FC"/>
    <w:rsid w:val="00D5402A"/>
    <w:rsid w:val="00D5446A"/>
    <w:rsid w:val="00D8472E"/>
    <w:rsid w:val="00D857E9"/>
    <w:rsid w:val="00D90329"/>
    <w:rsid w:val="00D94642"/>
    <w:rsid w:val="00D9583F"/>
    <w:rsid w:val="00DB0CC3"/>
    <w:rsid w:val="00DB27E1"/>
    <w:rsid w:val="00DC1CAA"/>
    <w:rsid w:val="00DE1A25"/>
    <w:rsid w:val="00DF1AAB"/>
    <w:rsid w:val="00E03EDC"/>
    <w:rsid w:val="00E2208F"/>
    <w:rsid w:val="00E23CFE"/>
    <w:rsid w:val="00E33B3F"/>
    <w:rsid w:val="00E430B2"/>
    <w:rsid w:val="00E43FFF"/>
    <w:rsid w:val="00E45BAE"/>
    <w:rsid w:val="00E551C0"/>
    <w:rsid w:val="00E64686"/>
    <w:rsid w:val="00E66000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C421E"/>
    <w:rsid w:val="00ED68AD"/>
    <w:rsid w:val="00EE2F42"/>
    <w:rsid w:val="00EE45E4"/>
    <w:rsid w:val="00EE4B8F"/>
    <w:rsid w:val="00EE6407"/>
    <w:rsid w:val="00EF6E0F"/>
    <w:rsid w:val="00F01114"/>
    <w:rsid w:val="00F23705"/>
    <w:rsid w:val="00F4155E"/>
    <w:rsid w:val="00F54ED2"/>
    <w:rsid w:val="00F64C3B"/>
    <w:rsid w:val="00F66E74"/>
    <w:rsid w:val="00F738DA"/>
    <w:rsid w:val="00FB13FB"/>
    <w:rsid w:val="00FD3537"/>
    <w:rsid w:val="00FD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627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BC1627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BC1627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BC1627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BC1627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BC1627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BC1627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BC1627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BC1627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BC1627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BC1627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BC16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BC1627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BC16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1627"/>
  </w:style>
  <w:style w:type="paragraph" w:customStyle="1" w:styleId="Rpido">
    <w:name w:val="Rápido _"/>
    <w:rsid w:val="00BC1627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BC1627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BC1627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BC1627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character" w:customStyle="1" w:styleId="PiedepginaCar">
    <w:name w:val="Pie de página Car"/>
    <w:basedOn w:val="Fuentedeprrafopredeter"/>
    <w:link w:val="Piedepgina"/>
    <w:rsid w:val="0041594A"/>
    <w:rPr>
      <w:rFonts w:ascii="Courier" w:hAnsi="Courier" w:cs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character" w:customStyle="1" w:styleId="PiedepginaCar">
    <w:name w:val="Pie de página Car"/>
    <w:basedOn w:val="Fuentedeprrafopredeter"/>
    <w:link w:val="Piedepgina"/>
    <w:rsid w:val="0041594A"/>
    <w:rPr>
      <w:rFonts w:ascii="Courier" w:hAnsi="Courier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4904-A6A6-49BA-A53E-17B45DAB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3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6419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2017-04-04T15:46:00Z</cp:lastPrinted>
  <dcterms:created xsi:type="dcterms:W3CDTF">2017-06-19T14:44:00Z</dcterms:created>
  <dcterms:modified xsi:type="dcterms:W3CDTF">2017-06-19T14:44:00Z</dcterms:modified>
</cp:coreProperties>
</file>