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74" w:rsidRDefault="00975DBD" w:rsidP="0052085D">
      <w:pPr>
        <w:ind w:left="1701"/>
        <w:rPr>
          <w:rFonts w:ascii="Arial Narrow" w:hAnsi="Arial Narrow"/>
          <w:noProof/>
          <w:sz w:val="28"/>
          <w:szCs w:val="28"/>
          <w:u w:val="single"/>
        </w:rPr>
      </w:pPr>
      <w:r w:rsidRPr="00975DBD">
        <w:rPr>
          <w:rFonts w:ascii="Arial Narrow" w:hAnsi="Arial Narrow"/>
          <w:b/>
          <w:noProof/>
          <w:sz w:val="50"/>
          <w:szCs w:val="50"/>
        </w:rPr>
        <w:pict>
          <v:shapetype id="_x0000_t202" coordsize="21600,21600" o:spt="202" path="m,l,21600r21600,l21600,xe">
            <v:stroke joinstyle="miter"/>
            <v:path gradientshapeok="t" o:connecttype="rect"/>
          </v:shapetype>
          <v:shape id="Text Box 8" o:spid="_x0000_s1026" type="#_x0000_t202" style="position:absolute;left:0;text-align:left;margin-left:-2.35pt;margin-top:-9.5pt;width:63pt;height:29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QnswIAALw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" filled="f" stroked="f">
            <v:textbox style="layout-flow:vertical;mso-layout-flow-alt:bottom-to-top">
              <w:txbxContent>
                <w:p w:rsidR="009A382B" w:rsidRDefault="009A382B" w:rsidP="009A382B">
                  <w:pPr>
                    <w:pStyle w:val="Ttulo4"/>
                    <w:jc w:val="left"/>
                    <w:rPr>
                      <w:color w:val="999999"/>
                    </w:rPr>
                  </w:pPr>
                  <w:r>
                    <w:rPr>
                      <w:color w:val="999999"/>
                    </w:rPr>
                    <w:t xml:space="preserve">Nota de Prensa </w:t>
                  </w:r>
                  <w:proofErr w:type="spellStart"/>
                  <w:r>
                    <w:rPr>
                      <w:color w:val="999999"/>
                    </w:rPr>
                    <w:t>PrensaPrensaComunicado</w:t>
                  </w:r>
                  <w:proofErr w:type="spellEnd"/>
                </w:p>
              </w:txbxContent>
            </v:textbox>
          </v:shape>
        </w:pict>
      </w:r>
      <w:r w:rsidR="00531274" w:rsidRPr="00531274">
        <w:rPr>
          <w:rFonts w:ascii="Arial Narrow" w:hAnsi="Arial Narrow"/>
          <w:noProof/>
          <w:sz w:val="28"/>
          <w:szCs w:val="28"/>
          <w:u w:val="single"/>
        </w:rPr>
        <w:t xml:space="preserve">Presidida </w:t>
      </w:r>
      <w:r w:rsidR="00531274">
        <w:rPr>
          <w:rFonts w:ascii="Arial Narrow" w:hAnsi="Arial Narrow"/>
          <w:noProof/>
          <w:sz w:val="28"/>
          <w:szCs w:val="28"/>
          <w:u w:val="single"/>
        </w:rPr>
        <w:t xml:space="preserve">en Zaragoza </w:t>
      </w:r>
      <w:r w:rsidR="00531274" w:rsidRPr="00531274">
        <w:rPr>
          <w:rFonts w:ascii="Arial Narrow" w:hAnsi="Arial Narrow"/>
          <w:noProof/>
          <w:sz w:val="28"/>
          <w:szCs w:val="28"/>
          <w:u w:val="single"/>
        </w:rPr>
        <w:t>por la vicepresidenta Soraya Sáenz de Santamaría</w:t>
      </w:r>
    </w:p>
    <w:p w:rsidR="00531274" w:rsidRDefault="00531274" w:rsidP="0052085D">
      <w:pPr>
        <w:ind w:left="1701"/>
        <w:rPr>
          <w:rFonts w:ascii="Arial Narrow" w:hAnsi="Arial Narrow"/>
          <w:noProof/>
          <w:sz w:val="2"/>
          <w:szCs w:val="2"/>
          <w:u w:val="single"/>
        </w:rPr>
      </w:pPr>
    </w:p>
    <w:p w:rsidR="00531274" w:rsidRDefault="00531274" w:rsidP="0052085D">
      <w:pPr>
        <w:ind w:left="1701"/>
        <w:rPr>
          <w:rFonts w:ascii="Arial Narrow" w:hAnsi="Arial Narrow"/>
          <w:noProof/>
          <w:sz w:val="2"/>
          <w:szCs w:val="2"/>
          <w:u w:val="single"/>
        </w:rPr>
      </w:pPr>
    </w:p>
    <w:p w:rsidR="00531274" w:rsidRDefault="00531274" w:rsidP="0052085D">
      <w:pPr>
        <w:ind w:left="1701"/>
        <w:rPr>
          <w:rFonts w:ascii="Arial Narrow" w:hAnsi="Arial Narrow"/>
          <w:noProof/>
          <w:sz w:val="2"/>
          <w:szCs w:val="2"/>
          <w:u w:val="single"/>
        </w:rPr>
      </w:pPr>
    </w:p>
    <w:p w:rsidR="00531274" w:rsidRDefault="00531274" w:rsidP="0052085D">
      <w:pPr>
        <w:ind w:left="1701"/>
        <w:rPr>
          <w:rFonts w:ascii="Arial Narrow" w:hAnsi="Arial Narrow"/>
          <w:noProof/>
          <w:sz w:val="2"/>
          <w:szCs w:val="2"/>
          <w:u w:val="single"/>
        </w:rPr>
      </w:pPr>
    </w:p>
    <w:p w:rsidR="00531274" w:rsidRPr="00531274" w:rsidRDefault="00531274" w:rsidP="0052085D">
      <w:pPr>
        <w:ind w:left="1701"/>
        <w:rPr>
          <w:rFonts w:ascii="Arial Narrow" w:hAnsi="Arial Narrow"/>
          <w:noProof/>
          <w:sz w:val="2"/>
          <w:szCs w:val="2"/>
          <w:u w:val="single"/>
        </w:rPr>
      </w:pPr>
    </w:p>
    <w:p w:rsidR="00EA4216" w:rsidRPr="0001214A" w:rsidRDefault="00BC1C14" w:rsidP="0052085D">
      <w:pPr>
        <w:ind w:left="1701"/>
        <w:rPr>
          <w:rFonts w:ascii="Arial Narrow" w:hAnsi="Arial Narrow"/>
          <w:b/>
          <w:noProof/>
          <w:sz w:val="52"/>
          <w:szCs w:val="52"/>
        </w:rPr>
      </w:pPr>
      <w:r w:rsidRPr="0001214A">
        <w:rPr>
          <w:rFonts w:ascii="Arial Narrow" w:hAnsi="Arial Narrow"/>
          <w:b/>
          <w:noProof/>
          <w:sz w:val="52"/>
          <w:szCs w:val="52"/>
        </w:rPr>
        <w:t xml:space="preserve">La </w:t>
      </w:r>
      <w:r w:rsidR="003C5132" w:rsidRPr="0001214A">
        <w:rPr>
          <w:rFonts w:ascii="Arial Narrow" w:hAnsi="Arial Narrow"/>
          <w:b/>
          <w:noProof/>
          <w:sz w:val="52"/>
          <w:szCs w:val="52"/>
        </w:rPr>
        <w:t xml:space="preserve">Comisión Bilateral </w:t>
      </w:r>
      <w:r w:rsidRPr="0001214A">
        <w:rPr>
          <w:rFonts w:ascii="Arial Narrow" w:hAnsi="Arial Narrow"/>
          <w:b/>
          <w:noProof/>
          <w:sz w:val="52"/>
          <w:szCs w:val="52"/>
        </w:rPr>
        <w:t xml:space="preserve">Aragón-Estado </w:t>
      </w:r>
      <w:r w:rsidR="003C5132" w:rsidRPr="0001214A">
        <w:rPr>
          <w:rFonts w:ascii="Arial Narrow" w:hAnsi="Arial Narrow"/>
          <w:b/>
          <w:noProof/>
          <w:sz w:val="52"/>
          <w:szCs w:val="52"/>
        </w:rPr>
        <w:t xml:space="preserve">aprueba </w:t>
      </w:r>
      <w:r w:rsidR="0001214A" w:rsidRPr="0001214A">
        <w:rPr>
          <w:rFonts w:ascii="Arial Narrow" w:hAnsi="Arial Narrow"/>
          <w:b/>
          <w:noProof/>
          <w:sz w:val="52"/>
          <w:szCs w:val="52"/>
        </w:rPr>
        <w:t>importantes</w:t>
      </w:r>
      <w:r w:rsidR="003C5132" w:rsidRPr="0001214A">
        <w:rPr>
          <w:rFonts w:ascii="Arial Narrow" w:hAnsi="Arial Narrow"/>
          <w:b/>
          <w:noProof/>
          <w:sz w:val="52"/>
          <w:szCs w:val="52"/>
        </w:rPr>
        <w:t xml:space="preserve"> acuerdos </w:t>
      </w:r>
      <w:r w:rsidR="00EA4216" w:rsidRPr="0001214A">
        <w:rPr>
          <w:rFonts w:ascii="Arial Narrow" w:hAnsi="Arial Narrow"/>
          <w:b/>
          <w:noProof/>
          <w:sz w:val="52"/>
          <w:szCs w:val="52"/>
        </w:rPr>
        <w:t xml:space="preserve">e impulsa la cooperación entre </w:t>
      </w:r>
      <w:r w:rsidRPr="0001214A">
        <w:rPr>
          <w:rFonts w:ascii="Arial Narrow" w:hAnsi="Arial Narrow"/>
          <w:b/>
          <w:noProof/>
          <w:sz w:val="52"/>
          <w:szCs w:val="52"/>
        </w:rPr>
        <w:t>ambas Administraciones</w:t>
      </w:r>
    </w:p>
    <w:p w:rsidR="00EA4216" w:rsidRDefault="00EA4216"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531274" w:rsidRDefault="00531274"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531274" w:rsidRDefault="00531274" w:rsidP="0052085D">
      <w:pPr>
        <w:ind w:left="1701"/>
        <w:rPr>
          <w:rFonts w:ascii="Arial Narrow" w:hAnsi="Arial Narrow"/>
          <w:b/>
          <w:noProof/>
          <w:sz w:val="2"/>
          <w:szCs w:val="2"/>
        </w:rPr>
      </w:pPr>
    </w:p>
    <w:p w:rsidR="00531274" w:rsidRDefault="00531274" w:rsidP="0052085D">
      <w:pPr>
        <w:ind w:left="1701"/>
        <w:rPr>
          <w:rFonts w:ascii="Arial Narrow" w:hAnsi="Arial Narrow"/>
          <w:b/>
          <w:noProof/>
          <w:sz w:val="2"/>
          <w:szCs w:val="2"/>
        </w:rPr>
      </w:pPr>
    </w:p>
    <w:p w:rsidR="00531274" w:rsidRDefault="00531274" w:rsidP="0052085D">
      <w:pPr>
        <w:ind w:left="1701"/>
        <w:rPr>
          <w:rFonts w:ascii="Arial Narrow" w:hAnsi="Arial Narrow"/>
          <w:b/>
          <w:noProof/>
          <w:sz w:val="2"/>
          <w:szCs w:val="2"/>
        </w:rPr>
      </w:pPr>
    </w:p>
    <w:p w:rsidR="00531274" w:rsidRDefault="00531274" w:rsidP="0052085D">
      <w:pPr>
        <w:ind w:left="1701"/>
        <w:rPr>
          <w:rFonts w:ascii="Arial Narrow" w:hAnsi="Arial Narrow"/>
          <w:b/>
          <w:noProof/>
          <w:sz w:val="2"/>
          <w:szCs w:val="2"/>
        </w:rPr>
      </w:pPr>
    </w:p>
    <w:p w:rsidR="00531274" w:rsidRDefault="00531274"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BC1C14" w:rsidRDefault="00BC1C14" w:rsidP="0052085D">
      <w:pPr>
        <w:ind w:left="1701"/>
        <w:rPr>
          <w:rFonts w:ascii="Arial Narrow" w:hAnsi="Arial Narrow"/>
          <w:b/>
          <w:noProof/>
          <w:sz w:val="2"/>
          <w:szCs w:val="2"/>
        </w:rPr>
      </w:pPr>
    </w:p>
    <w:p w:rsidR="00BC1C14" w:rsidRPr="00BC1C14" w:rsidRDefault="00BC1C14" w:rsidP="0052085D">
      <w:pPr>
        <w:ind w:left="1701"/>
        <w:rPr>
          <w:rFonts w:ascii="Arial Narrow" w:hAnsi="Arial Narrow"/>
          <w:b/>
          <w:noProof/>
          <w:sz w:val="2"/>
          <w:szCs w:val="2"/>
        </w:rPr>
      </w:pPr>
    </w:p>
    <w:p w:rsidR="0052085D" w:rsidRDefault="00BC1C14" w:rsidP="00EA4216">
      <w:pPr>
        <w:pStyle w:val="Prrafodelista"/>
        <w:numPr>
          <w:ilvl w:val="0"/>
          <w:numId w:val="40"/>
        </w:numPr>
        <w:ind w:left="1985" w:hanging="284"/>
        <w:jc w:val="both"/>
        <w:rPr>
          <w:rFonts w:ascii="Arial Narrow" w:hAnsi="Arial Narrow"/>
          <w:b/>
          <w:noProof/>
          <w:sz w:val="28"/>
          <w:szCs w:val="28"/>
        </w:rPr>
      </w:pPr>
      <w:r>
        <w:rPr>
          <w:rFonts w:ascii="Arial Narrow" w:hAnsi="Arial Narrow"/>
          <w:b/>
          <w:noProof/>
          <w:sz w:val="28"/>
          <w:szCs w:val="28"/>
        </w:rPr>
        <w:t>Destacan la creación</w:t>
      </w:r>
      <w:r w:rsidR="00EA4216" w:rsidRPr="00EA4216">
        <w:rPr>
          <w:rFonts w:ascii="Arial Narrow" w:hAnsi="Arial Narrow"/>
          <w:b/>
          <w:noProof/>
          <w:sz w:val="28"/>
          <w:szCs w:val="28"/>
        </w:rPr>
        <w:t xml:space="preserve"> de dos grupos de trabajo: uno, para el seguimiento y cumplimiento de los compromisos adquiridos. Y </w:t>
      </w:r>
      <w:r>
        <w:rPr>
          <w:rFonts w:ascii="Arial Narrow" w:hAnsi="Arial Narrow"/>
          <w:b/>
          <w:noProof/>
          <w:sz w:val="28"/>
          <w:szCs w:val="28"/>
        </w:rPr>
        <w:t>otro</w:t>
      </w:r>
      <w:r w:rsidR="00EA4216" w:rsidRPr="00EA4216">
        <w:rPr>
          <w:rFonts w:ascii="Arial Narrow" w:hAnsi="Arial Narrow"/>
          <w:b/>
          <w:noProof/>
          <w:sz w:val="28"/>
          <w:szCs w:val="28"/>
        </w:rPr>
        <w:t>, para analizar, dentro de la financiación autonómica, las particularidades de Aragón</w:t>
      </w:r>
    </w:p>
    <w:p w:rsidR="00EA4216" w:rsidRDefault="00EA4216" w:rsidP="00EA4216">
      <w:pPr>
        <w:pStyle w:val="Prrafodelista"/>
        <w:ind w:left="1985"/>
        <w:jc w:val="both"/>
        <w:rPr>
          <w:rFonts w:ascii="Arial Narrow" w:hAnsi="Arial Narrow"/>
          <w:b/>
          <w:noProof/>
          <w:sz w:val="28"/>
          <w:szCs w:val="28"/>
        </w:rPr>
      </w:pPr>
    </w:p>
    <w:p w:rsidR="00BC1C14" w:rsidRPr="00BC1C14" w:rsidRDefault="00EA4216" w:rsidP="00BC1C14">
      <w:pPr>
        <w:pStyle w:val="Prrafodelista"/>
        <w:numPr>
          <w:ilvl w:val="0"/>
          <w:numId w:val="40"/>
        </w:numPr>
        <w:ind w:left="1985" w:hanging="284"/>
        <w:jc w:val="both"/>
        <w:rPr>
          <w:rFonts w:ascii="Arial Narrow" w:hAnsi="Arial Narrow"/>
          <w:b/>
          <w:noProof/>
          <w:sz w:val="28"/>
          <w:szCs w:val="28"/>
        </w:rPr>
      </w:pPr>
      <w:r w:rsidRPr="00BC1C14">
        <w:rPr>
          <w:rFonts w:ascii="Arial Narrow" w:hAnsi="Arial Narrow"/>
          <w:b/>
          <w:noProof/>
          <w:sz w:val="28"/>
          <w:szCs w:val="28"/>
        </w:rPr>
        <w:t>Acuerdos sobre inversiones y el inicio de las obras en la N-232 y N-260</w:t>
      </w:r>
      <w:r w:rsidR="00BC1C14" w:rsidRPr="00BC1C14">
        <w:rPr>
          <w:rFonts w:ascii="Arial Narrow" w:hAnsi="Arial Narrow"/>
          <w:b/>
          <w:noProof/>
          <w:sz w:val="28"/>
          <w:szCs w:val="28"/>
        </w:rPr>
        <w:t xml:space="preserve"> y se han analizado las inversiones que </w:t>
      </w:r>
      <w:r w:rsidR="00BC1C14">
        <w:rPr>
          <w:rFonts w:ascii="Arial Narrow" w:hAnsi="Arial Narrow"/>
          <w:b/>
          <w:noProof/>
          <w:sz w:val="28"/>
          <w:szCs w:val="28"/>
        </w:rPr>
        <w:t>recogidas en</w:t>
      </w:r>
      <w:r w:rsidR="00BC1C14" w:rsidRPr="00BC1C14">
        <w:rPr>
          <w:rFonts w:ascii="Arial Narrow" w:hAnsi="Arial Narrow"/>
          <w:b/>
          <w:noProof/>
          <w:sz w:val="28"/>
          <w:szCs w:val="28"/>
        </w:rPr>
        <w:t xml:space="preserve"> los PGE </w:t>
      </w:r>
      <w:r w:rsidR="00BC1C14">
        <w:rPr>
          <w:rFonts w:ascii="Arial Narrow" w:hAnsi="Arial Narrow"/>
          <w:b/>
          <w:noProof/>
          <w:sz w:val="28"/>
          <w:szCs w:val="28"/>
        </w:rPr>
        <w:t>para</w:t>
      </w:r>
      <w:r w:rsidR="00BC1C14" w:rsidRPr="00BC1C14">
        <w:rPr>
          <w:rFonts w:ascii="Arial Narrow" w:hAnsi="Arial Narrow"/>
          <w:b/>
          <w:noProof/>
          <w:sz w:val="28"/>
          <w:szCs w:val="28"/>
        </w:rPr>
        <w:t xml:space="preserve"> la AP-2, AP-21, A-21, A-22</w:t>
      </w:r>
      <w:r w:rsidR="00BC1C14">
        <w:rPr>
          <w:rFonts w:ascii="Arial Narrow" w:hAnsi="Arial Narrow"/>
          <w:b/>
          <w:noProof/>
          <w:sz w:val="28"/>
          <w:szCs w:val="28"/>
        </w:rPr>
        <w:t xml:space="preserve"> y</w:t>
      </w:r>
      <w:r w:rsidR="00BC1C14" w:rsidRPr="00BC1C14">
        <w:rPr>
          <w:rFonts w:ascii="Arial Narrow" w:hAnsi="Arial Narrow"/>
          <w:b/>
          <w:noProof/>
          <w:sz w:val="28"/>
          <w:szCs w:val="28"/>
        </w:rPr>
        <w:t xml:space="preserve"> A-23, así como la inversión de 333 millones de euros en el periodo 2017-2020 para los corredores ferroviarios Cantábrico y Mediterráneo</w:t>
      </w:r>
    </w:p>
    <w:p w:rsidR="00EA4216" w:rsidRDefault="00EA4216" w:rsidP="00EA4216">
      <w:pPr>
        <w:pStyle w:val="Prrafodelista"/>
        <w:ind w:left="1985"/>
        <w:jc w:val="both"/>
        <w:rPr>
          <w:rFonts w:ascii="Arial Narrow" w:hAnsi="Arial Narrow"/>
          <w:b/>
          <w:noProof/>
          <w:sz w:val="28"/>
          <w:szCs w:val="28"/>
        </w:rPr>
      </w:pPr>
    </w:p>
    <w:p w:rsidR="00EA4216" w:rsidRDefault="00EA4216" w:rsidP="00EA4216">
      <w:pPr>
        <w:pStyle w:val="Prrafodelista"/>
        <w:numPr>
          <w:ilvl w:val="0"/>
          <w:numId w:val="40"/>
        </w:numPr>
        <w:ind w:left="1985" w:hanging="284"/>
        <w:jc w:val="both"/>
        <w:rPr>
          <w:rFonts w:ascii="Arial Narrow" w:hAnsi="Arial Narrow"/>
          <w:b/>
          <w:noProof/>
          <w:sz w:val="28"/>
          <w:szCs w:val="28"/>
        </w:rPr>
      </w:pPr>
      <w:r>
        <w:rPr>
          <w:rFonts w:ascii="Arial Narrow" w:hAnsi="Arial Narrow"/>
          <w:b/>
          <w:noProof/>
          <w:sz w:val="28"/>
          <w:szCs w:val="28"/>
        </w:rPr>
        <w:t>Se aprueba un protocolo de int</w:t>
      </w:r>
      <w:r w:rsidR="00BC1C14">
        <w:rPr>
          <w:rFonts w:ascii="Arial Narrow" w:hAnsi="Arial Narrow"/>
          <w:b/>
          <w:noProof/>
          <w:sz w:val="28"/>
          <w:szCs w:val="28"/>
        </w:rPr>
        <w:t>enciones para prolongar el Fondo</w:t>
      </w:r>
      <w:r>
        <w:rPr>
          <w:rFonts w:ascii="Arial Narrow" w:hAnsi="Arial Narrow"/>
          <w:b/>
          <w:noProof/>
          <w:sz w:val="28"/>
          <w:szCs w:val="28"/>
        </w:rPr>
        <w:t xml:space="preserve"> de Inversiones de Teruel (FITE) hasta 2020</w:t>
      </w:r>
    </w:p>
    <w:p w:rsidR="00EA4216" w:rsidRDefault="00EA4216" w:rsidP="00EA4216">
      <w:pPr>
        <w:pStyle w:val="Prrafodelista"/>
        <w:ind w:left="1985"/>
        <w:jc w:val="both"/>
        <w:rPr>
          <w:rFonts w:ascii="Arial Narrow" w:hAnsi="Arial Narrow"/>
          <w:b/>
          <w:noProof/>
          <w:sz w:val="28"/>
          <w:szCs w:val="28"/>
        </w:rPr>
      </w:pPr>
    </w:p>
    <w:p w:rsidR="00EA4216" w:rsidRDefault="00BC1C14" w:rsidP="00EA4216">
      <w:pPr>
        <w:pStyle w:val="Prrafodelista"/>
        <w:numPr>
          <w:ilvl w:val="0"/>
          <w:numId w:val="40"/>
        </w:numPr>
        <w:ind w:left="1985" w:hanging="284"/>
        <w:jc w:val="both"/>
        <w:rPr>
          <w:rFonts w:ascii="Arial Narrow" w:hAnsi="Arial Narrow"/>
          <w:b/>
          <w:noProof/>
          <w:sz w:val="28"/>
          <w:szCs w:val="28"/>
        </w:rPr>
      </w:pPr>
      <w:r>
        <w:rPr>
          <w:rFonts w:ascii="Arial Narrow" w:hAnsi="Arial Narrow"/>
          <w:b/>
          <w:noProof/>
          <w:sz w:val="28"/>
          <w:szCs w:val="28"/>
        </w:rPr>
        <w:t xml:space="preserve">Se </w:t>
      </w:r>
      <w:r w:rsidR="00EA4216">
        <w:rPr>
          <w:rFonts w:ascii="Arial Narrow" w:hAnsi="Arial Narrow"/>
          <w:b/>
          <w:noProof/>
          <w:sz w:val="28"/>
          <w:szCs w:val="28"/>
        </w:rPr>
        <w:t>inici</w:t>
      </w:r>
      <w:r w:rsidR="0001214A">
        <w:rPr>
          <w:rFonts w:ascii="Arial Narrow" w:hAnsi="Arial Narrow"/>
          <w:b/>
          <w:noProof/>
          <w:sz w:val="28"/>
          <w:szCs w:val="28"/>
        </w:rPr>
        <w:t>an las negociaciones p</w:t>
      </w:r>
      <w:r w:rsidR="00EA4216">
        <w:rPr>
          <w:rFonts w:ascii="Arial Narrow" w:hAnsi="Arial Narrow"/>
          <w:b/>
          <w:noProof/>
          <w:sz w:val="28"/>
          <w:szCs w:val="28"/>
        </w:rPr>
        <w:t xml:space="preserve">ara </w:t>
      </w:r>
      <w:r>
        <w:rPr>
          <w:rFonts w:ascii="Arial Narrow" w:hAnsi="Arial Narrow"/>
          <w:b/>
          <w:noProof/>
          <w:sz w:val="28"/>
          <w:szCs w:val="28"/>
        </w:rPr>
        <w:t>poner fin a</w:t>
      </w:r>
      <w:r w:rsidR="00EA4216">
        <w:rPr>
          <w:rFonts w:ascii="Arial Narrow" w:hAnsi="Arial Narrow"/>
          <w:b/>
          <w:noProof/>
          <w:sz w:val="28"/>
          <w:szCs w:val="28"/>
        </w:rPr>
        <w:t xml:space="preserve"> la conflictividad en la oferta de empleo público extraordinaria 2016</w:t>
      </w:r>
    </w:p>
    <w:p w:rsidR="00EA4216" w:rsidRPr="00EA4216" w:rsidRDefault="00EA4216" w:rsidP="00EA4216">
      <w:pPr>
        <w:pStyle w:val="Prrafodelista"/>
        <w:rPr>
          <w:rFonts w:ascii="Arial Narrow" w:hAnsi="Arial Narrow"/>
          <w:b/>
          <w:noProof/>
          <w:sz w:val="28"/>
          <w:szCs w:val="28"/>
        </w:rPr>
      </w:pPr>
    </w:p>
    <w:p w:rsidR="00DD28BB" w:rsidRPr="00EA4216" w:rsidRDefault="00EA4216" w:rsidP="00EA4216">
      <w:pPr>
        <w:pStyle w:val="Prrafodelista"/>
        <w:numPr>
          <w:ilvl w:val="0"/>
          <w:numId w:val="40"/>
        </w:numPr>
        <w:ind w:left="1985" w:hanging="284"/>
        <w:jc w:val="both"/>
        <w:rPr>
          <w:rFonts w:ascii="Arial Narrow" w:hAnsi="Arial Narrow"/>
          <w:b/>
          <w:color w:val="000000" w:themeColor="text1"/>
          <w:sz w:val="28"/>
          <w:szCs w:val="28"/>
        </w:rPr>
      </w:pPr>
      <w:r>
        <w:rPr>
          <w:rFonts w:ascii="Arial Narrow" w:hAnsi="Arial Narrow"/>
          <w:b/>
          <w:noProof/>
          <w:sz w:val="28"/>
          <w:szCs w:val="28"/>
        </w:rPr>
        <w:t xml:space="preserve">En materia de medio ambiente, se aprueba la descontaminación integral del lindano </w:t>
      </w:r>
      <w:r w:rsidR="00BC1C14">
        <w:rPr>
          <w:rFonts w:ascii="Arial Narrow" w:hAnsi="Arial Narrow"/>
          <w:b/>
          <w:noProof/>
          <w:sz w:val="28"/>
          <w:szCs w:val="28"/>
        </w:rPr>
        <w:t>d</w:t>
      </w:r>
      <w:r>
        <w:rPr>
          <w:rFonts w:ascii="Arial Narrow" w:hAnsi="Arial Narrow"/>
          <w:b/>
          <w:noProof/>
          <w:sz w:val="28"/>
          <w:szCs w:val="28"/>
        </w:rPr>
        <w:t>el río Gállego, elevación de las aguas de Andorra y regulación de las balsas laterales de Tastavins y de Algas, además de la celebración del primer centenario del Parque Nacional de Ordesa y Monte Perdido</w:t>
      </w:r>
    </w:p>
    <w:p w:rsidR="00EA4216" w:rsidRPr="00EA4216" w:rsidRDefault="00EA4216" w:rsidP="00EA4216">
      <w:pPr>
        <w:pStyle w:val="Prrafodelista"/>
        <w:rPr>
          <w:rFonts w:ascii="Arial Narrow" w:hAnsi="Arial Narrow"/>
          <w:b/>
          <w:color w:val="000000" w:themeColor="text1"/>
          <w:sz w:val="28"/>
          <w:szCs w:val="28"/>
        </w:rPr>
      </w:pPr>
    </w:p>
    <w:p w:rsidR="00EA4216" w:rsidRDefault="00BC1C14" w:rsidP="00EA4216">
      <w:pPr>
        <w:pStyle w:val="Prrafodelista"/>
        <w:numPr>
          <w:ilvl w:val="0"/>
          <w:numId w:val="40"/>
        </w:numPr>
        <w:ind w:left="1985" w:hanging="284"/>
        <w:jc w:val="both"/>
        <w:rPr>
          <w:rFonts w:ascii="Arial Narrow" w:hAnsi="Arial Narrow"/>
          <w:b/>
          <w:color w:val="000000" w:themeColor="text1"/>
          <w:sz w:val="28"/>
          <w:szCs w:val="28"/>
        </w:rPr>
      </w:pPr>
      <w:r>
        <w:rPr>
          <w:rFonts w:ascii="Arial Narrow" w:hAnsi="Arial Narrow"/>
          <w:b/>
          <w:color w:val="000000" w:themeColor="text1"/>
          <w:sz w:val="28"/>
          <w:szCs w:val="28"/>
        </w:rPr>
        <w:t>La Comisión Bilateral, con diecisiete puntos en el orden del día, ha tenido mucho contenido y resultados, fruto de la cooperación de ambas Administraciones, que se comprometen a mantener el diálogo y la cooperación</w:t>
      </w:r>
    </w:p>
    <w:p w:rsidR="00BC1C14" w:rsidRDefault="00BC1C14" w:rsidP="00BC1C14">
      <w:pPr>
        <w:pStyle w:val="Prrafodelista"/>
        <w:rPr>
          <w:rFonts w:ascii="Arial Narrow" w:hAnsi="Arial Narrow"/>
          <w:b/>
          <w:color w:val="000000" w:themeColor="text1"/>
          <w:sz w:val="2"/>
          <w:szCs w:val="2"/>
        </w:rPr>
      </w:pPr>
    </w:p>
    <w:p w:rsidR="00531274" w:rsidRDefault="00531274" w:rsidP="00BC1C14">
      <w:pPr>
        <w:pStyle w:val="Prrafodelista"/>
        <w:rPr>
          <w:rFonts w:ascii="Arial Narrow" w:hAnsi="Arial Narrow"/>
          <w:b/>
          <w:color w:val="000000" w:themeColor="text1"/>
          <w:sz w:val="2"/>
          <w:szCs w:val="2"/>
        </w:rPr>
      </w:pPr>
    </w:p>
    <w:p w:rsidR="00531274" w:rsidRDefault="00531274" w:rsidP="00BC1C14">
      <w:pPr>
        <w:pStyle w:val="Prrafodelista"/>
        <w:rPr>
          <w:rFonts w:ascii="Arial Narrow" w:hAnsi="Arial Narrow"/>
          <w:b/>
          <w:color w:val="000000" w:themeColor="text1"/>
          <w:sz w:val="2"/>
          <w:szCs w:val="2"/>
        </w:rPr>
      </w:pPr>
    </w:p>
    <w:p w:rsidR="00531274" w:rsidRDefault="00531274" w:rsidP="00BC1C14">
      <w:pPr>
        <w:pStyle w:val="Prrafodelista"/>
        <w:rPr>
          <w:rFonts w:ascii="Arial Narrow" w:hAnsi="Arial Narrow"/>
          <w:b/>
          <w:color w:val="000000" w:themeColor="text1"/>
          <w:sz w:val="2"/>
          <w:szCs w:val="2"/>
        </w:rPr>
      </w:pPr>
    </w:p>
    <w:p w:rsidR="00531274" w:rsidRDefault="00531274" w:rsidP="00BC1C14">
      <w:pPr>
        <w:pStyle w:val="Prrafodelista"/>
        <w:rPr>
          <w:rFonts w:ascii="Arial Narrow" w:hAnsi="Arial Narrow"/>
          <w:b/>
          <w:color w:val="000000" w:themeColor="text1"/>
          <w:sz w:val="2"/>
          <w:szCs w:val="2"/>
        </w:rPr>
      </w:pPr>
    </w:p>
    <w:p w:rsidR="00531274" w:rsidRDefault="00531274" w:rsidP="00BC1C14">
      <w:pPr>
        <w:pStyle w:val="Prrafodelista"/>
        <w:rPr>
          <w:rFonts w:ascii="Arial Narrow" w:hAnsi="Arial Narrow"/>
          <w:b/>
          <w:color w:val="000000" w:themeColor="text1"/>
          <w:sz w:val="2"/>
          <w:szCs w:val="2"/>
        </w:rPr>
      </w:pPr>
    </w:p>
    <w:p w:rsidR="00531274" w:rsidRDefault="00531274" w:rsidP="00BC1C14">
      <w:pPr>
        <w:pStyle w:val="Prrafodelista"/>
        <w:rPr>
          <w:rFonts w:ascii="Arial Narrow" w:hAnsi="Arial Narrow"/>
          <w:b/>
          <w:color w:val="000000" w:themeColor="text1"/>
          <w:sz w:val="2"/>
          <w:szCs w:val="2"/>
        </w:rPr>
      </w:pPr>
    </w:p>
    <w:p w:rsidR="00531274" w:rsidRDefault="00531274" w:rsidP="00BC1C14">
      <w:pPr>
        <w:pStyle w:val="Prrafodelista"/>
        <w:rPr>
          <w:rFonts w:ascii="Arial Narrow" w:hAnsi="Arial Narrow"/>
          <w:b/>
          <w:color w:val="000000" w:themeColor="text1"/>
          <w:sz w:val="2"/>
          <w:szCs w:val="2"/>
        </w:rPr>
      </w:pPr>
    </w:p>
    <w:p w:rsidR="00531274" w:rsidRPr="00531274" w:rsidRDefault="00531274" w:rsidP="00BC1C14">
      <w:pPr>
        <w:pStyle w:val="Prrafodelista"/>
        <w:rPr>
          <w:rFonts w:ascii="Arial Narrow" w:hAnsi="Arial Narrow"/>
          <w:b/>
          <w:color w:val="000000" w:themeColor="text1"/>
          <w:sz w:val="2"/>
          <w:szCs w:val="2"/>
        </w:rPr>
      </w:pPr>
    </w:p>
    <w:p w:rsidR="00BC1C14" w:rsidRDefault="00BC1C14" w:rsidP="00BC1C14">
      <w:pPr>
        <w:pStyle w:val="Prrafodelista"/>
        <w:ind w:left="1985"/>
        <w:jc w:val="both"/>
        <w:rPr>
          <w:rFonts w:ascii="Arial Narrow" w:hAnsi="Arial Narrow"/>
          <w:b/>
          <w:color w:val="000000" w:themeColor="text1"/>
          <w:sz w:val="28"/>
          <w:szCs w:val="28"/>
        </w:rPr>
      </w:pPr>
    </w:p>
    <w:p w:rsidR="0052085D" w:rsidRPr="00DD28BB" w:rsidRDefault="00DD28BB" w:rsidP="0052085D">
      <w:pPr>
        <w:ind w:left="1701"/>
        <w:jc w:val="both"/>
        <w:rPr>
          <w:rFonts w:ascii="Arial Narrow" w:hAnsi="Arial Narrow"/>
          <w:color w:val="000000" w:themeColor="text1"/>
          <w:sz w:val="28"/>
          <w:szCs w:val="28"/>
        </w:rPr>
      </w:pPr>
      <w:r w:rsidRPr="00DD28BB">
        <w:rPr>
          <w:rFonts w:ascii="Arial Narrow" w:hAnsi="Arial Narrow"/>
          <w:b/>
          <w:color w:val="000000" w:themeColor="text1"/>
          <w:sz w:val="28"/>
          <w:szCs w:val="28"/>
        </w:rPr>
        <w:t xml:space="preserve">Zaragoza, </w:t>
      </w:r>
      <w:r w:rsidR="0052085D" w:rsidRPr="00DD28BB">
        <w:rPr>
          <w:rFonts w:ascii="Arial Narrow" w:hAnsi="Arial Narrow"/>
          <w:b/>
          <w:color w:val="000000" w:themeColor="text1"/>
          <w:sz w:val="28"/>
          <w:szCs w:val="28"/>
        </w:rPr>
        <w:t>27 de junio de 2017.-</w:t>
      </w:r>
      <w:r w:rsidR="0052085D" w:rsidRPr="00DD28BB">
        <w:rPr>
          <w:rFonts w:ascii="Arial Narrow" w:hAnsi="Arial Narrow"/>
          <w:color w:val="000000" w:themeColor="text1"/>
          <w:sz w:val="28"/>
          <w:szCs w:val="28"/>
        </w:rPr>
        <w:t xml:space="preserve"> La vicepresidenta del Gobierno y ministra de la Presidencia y para las Administraciones Territoriales, Soraya Sáenz de Santamaría, </w:t>
      </w:r>
      <w:r w:rsidR="001E46C0">
        <w:rPr>
          <w:rFonts w:ascii="Arial Narrow" w:hAnsi="Arial Narrow"/>
          <w:color w:val="000000" w:themeColor="text1"/>
          <w:sz w:val="28"/>
          <w:szCs w:val="28"/>
        </w:rPr>
        <w:t xml:space="preserve">ha presidido en Zaragoza, junto al consejero de Presidencia, Vicente Guillén, </w:t>
      </w:r>
      <w:r w:rsidR="0052085D" w:rsidRPr="00DD28BB">
        <w:rPr>
          <w:rFonts w:ascii="Arial Narrow" w:hAnsi="Arial Narrow"/>
          <w:color w:val="000000" w:themeColor="text1"/>
          <w:sz w:val="28"/>
          <w:szCs w:val="28"/>
        </w:rPr>
        <w:t xml:space="preserve">la reunión de la Comisión Bilateral de Cooperación Aragón-Estado, principal instrumento de cooperación entre la Comunidad Autónoma y la Administración General del Estado. </w:t>
      </w:r>
    </w:p>
    <w:p w:rsidR="0052085D" w:rsidRPr="00DD28BB" w:rsidRDefault="0052085D" w:rsidP="0052085D">
      <w:pPr>
        <w:ind w:left="1701"/>
        <w:jc w:val="both"/>
        <w:rPr>
          <w:rFonts w:ascii="Arial Narrow" w:hAnsi="Arial Narrow"/>
          <w:color w:val="000000" w:themeColor="text1"/>
          <w:sz w:val="28"/>
          <w:szCs w:val="28"/>
        </w:rPr>
      </w:pPr>
      <w:r w:rsidRPr="00DD28BB">
        <w:rPr>
          <w:rFonts w:ascii="Arial Narrow" w:hAnsi="Arial Narrow"/>
          <w:color w:val="000000" w:themeColor="text1"/>
          <w:sz w:val="28"/>
          <w:szCs w:val="28"/>
        </w:rPr>
        <w:lastRenderedPageBreak/>
        <w:t>La Comisión</w:t>
      </w:r>
      <w:r w:rsidR="009C3C1F" w:rsidRPr="00DD28BB">
        <w:rPr>
          <w:rFonts w:ascii="Arial Narrow" w:hAnsi="Arial Narrow"/>
          <w:color w:val="000000" w:themeColor="text1"/>
          <w:sz w:val="28"/>
          <w:szCs w:val="28"/>
        </w:rPr>
        <w:t>, que</w:t>
      </w:r>
      <w:r w:rsidRPr="00DD28BB">
        <w:rPr>
          <w:rFonts w:ascii="Arial Narrow" w:hAnsi="Arial Narrow"/>
          <w:color w:val="000000" w:themeColor="text1"/>
          <w:sz w:val="28"/>
          <w:szCs w:val="28"/>
        </w:rPr>
        <w:t xml:space="preserve"> </w:t>
      </w:r>
      <w:r w:rsidR="009C3C1F" w:rsidRPr="00DD28BB">
        <w:rPr>
          <w:rFonts w:ascii="Arial Narrow" w:hAnsi="Arial Narrow"/>
          <w:color w:val="000000" w:themeColor="text1"/>
          <w:sz w:val="28"/>
          <w:szCs w:val="28"/>
        </w:rPr>
        <w:t>ha celebrado hoy su séptima reunión, ha contado también con la presencia,</w:t>
      </w:r>
      <w:r w:rsidRPr="00DD28BB">
        <w:rPr>
          <w:rFonts w:ascii="Arial Narrow" w:hAnsi="Arial Narrow"/>
          <w:color w:val="000000" w:themeColor="text1"/>
          <w:sz w:val="28"/>
          <w:szCs w:val="28"/>
        </w:rPr>
        <w:t xml:space="preserve"> en representación de la Administración General del Estado, del ministro de Fomento, Íñigo de la Serna, el secretario de Estado para las Administraciones Territoriales, Roberto Bermúdez de Castro, el secretario de Estado de Hacienda, José Enrique Fernández de Moya, el delegado del Gobierno en Aragón, G</w:t>
      </w:r>
      <w:r w:rsidR="009C3C1F" w:rsidRPr="00DD28BB">
        <w:rPr>
          <w:rFonts w:ascii="Arial Narrow" w:hAnsi="Arial Narrow"/>
          <w:color w:val="000000" w:themeColor="text1"/>
          <w:sz w:val="28"/>
          <w:szCs w:val="28"/>
        </w:rPr>
        <w:t xml:space="preserve">ustavo Alcalde, </w:t>
      </w:r>
      <w:r w:rsidRPr="00DD28BB">
        <w:rPr>
          <w:rFonts w:ascii="Arial Narrow" w:hAnsi="Arial Narrow"/>
          <w:color w:val="000000" w:themeColor="text1"/>
          <w:sz w:val="28"/>
          <w:szCs w:val="28"/>
        </w:rPr>
        <w:t>y el subsecretario de Agricultura y Pesca, Alimentación</w:t>
      </w:r>
      <w:r w:rsidR="00DE3457">
        <w:rPr>
          <w:rFonts w:ascii="Arial Narrow" w:hAnsi="Arial Narrow"/>
          <w:color w:val="000000" w:themeColor="text1"/>
          <w:sz w:val="28"/>
          <w:szCs w:val="28"/>
        </w:rPr>
        <w:t xml:space="preserve"> y Medio Ambiente, Jaime </w:t>
      </w:r>
      <w:proofErr w:type="spellStart"/>
      <w:r w:rsidR="00DE3457">
        <w:rPr>
          <w:rFonts w:ascii="Arial Narrow" w:hAnsi="Arial Narrow"/>
          <w:color w:val="000000" w:themeColor="text1"/>
          <w:sz w:val="28"/>
          <w:szCs w:val="28"/>
        </w:rPr>
        <w:t>Haddad</w:t>
      </w:r>
      <w:proofErr w:type="spellEnd"/>
      <w:r w:rsidR="00DE3457">
        <w:rPr>
          <w:rFonts w:ascii="Arial Narrow" w:hAnsi="Arial Narrow"/>
          <w:color w:val="000000" w:themeColor="text1"/>
          <w:sz w:val="28"/>
          <w:szCs w:val="28"/>
        </w:rPr>
        <w:t xml:space="preserve">, y Enrique </w:t>
      </w:r>
      <w:proofErr w:type="spellStart"/>
      <w:r w:rsidR="00DE3457">
        <w:rPr>
          <w:rFonts w:ascii="Arial Narrow" w:hAnsi="Arial Narrow"/>
          <w:color w:val="000000" w:themeColor="text1"/>
          <w:sz w:val="28"/>
          <w:szCs w:val="28"/>
        </w:rPr>
        <w:t>Lasso</w:t>
      </w:r>
      <w:proofErr w:type="spellEnd"/>
      <w:r w:rsidR="00DE3457">
        <w:rPr>
          <w:rFonts w:ascii="Arial Narrow" w:hAnsi="Arial Narrow"/>
          <w:color w:val="000000" w:themeColor="text1"/>
          <w:sz w:val="28"/>
          <w:szCs w:val="28"/>
        </w:rPr>
        <w:t>, director general de Relaciones con las Comunidades Autónomas y Entes Locales.</w:t>
      </w:r>
    </w:p>
    <w:p w:rsidR="0052085D" w:rsidRPr="00DD28BB" w:rsidRDefault="0052085D" w:rsidP="0052085D">
      <w:pPr>
        <w:ind w:left="1701"/>
        <w:rPr>
          <w:rFonts w:ascii="Arial Narrow" w:hAnsi="Arial Narrow"/>
          <w:color w:val="000000" w:themeColor="text1"/>
          <w:sz w:val="28"/>
          <w:szCs w:val="28"/>
        </w:rPr>
      </w:pPr>
    </w:p>
    <w:p w:rsidR="0052085D" w:rsidRPr="00DD28BB" w:rsidRDefault="0052085D" w:rsidP="0052085D">
      <w:pPr>
        <w:ind w:left="1701"/>
        <w:jc w:val="both"/>
        <w:rPr>
          <w:rFonts w:ascii="Arial Narrow" w:hAnsi="Arial Narrow"/>
          <w:color w:val="000000" w:themeColor="text1"/>
          <w:sz w:val="28"/>
          <w:szCs w:val="28"/>
        </w:rPr>
      </w:pPr>
      <w:r w:rsidRPr="00DD28BB">
        <w:rPr>
          <w:rFonts w:ascii="Arial Narrow" w:hAnsi="Arial Narrow"/>
          <w:color w:val="000000" w:themeColor="text1"/>
          <w:sz w:val="28"/>
          <w:szCs w:val="28"/>
        </w:rPr>
        <w:t xml:space="preserve">La representación aragonesa ha estado </w:t>
      </w:r>
      <w:r w:rsidR="009C3C1F" w:rsidRPr="00DD28BB">
        <w:rPr>
          <w:rFonts w:ascii="Arial Narrow" w:hAnsi="Arial Narrow"/>
          <w:color w:val="000000" w:themeColor="text1"/>
          <w:sz w:val="28"/>
          <w:szCs w:val="28"/>
        </w:rPr>
        <w:t xml:space="preserve">integrada, junto al consejero de Presidencia, Vicente Guillén, por </w:t>
      </w:r>
      <w:r w:rsidR="00DE3457">
        <w:rPr>
          <w:rFonts w:ascii="Arial Narrow" w:hAnsi="Arial Narrow"/>
          <w:color w:val="000000" w:themeColor="text1"/>
          <w:sz w:val="28"/>
          <w:szCs w:val="28"/>
        </w:rPr>
        <w:t>los</w:t>
      </w:r>
      <w:r w:rsidR="009C3C1F" w:rsidRPr="00DD28BB">
        <w:rPr>
          <w:rFonts w:ascii="Arial Narrow" w:hAnsi="Arial Narrow"/>
          <w:color w:val="000000" w:themeColor="text1"/>
          <w:sz w:val="28"/>
          <w:szCs w:val="28"/>
        </w:rPr>
        <w:t xml:space="preserve"> c</w:t>
      </w:r>
      <w:r w:rsidRPr="00DD28BB">
        <w:rPr>
          <w:rFonts w:ascii="Arial Narrow" w:hAnsi="Arial Narrow"/>
          <w:color w:val="000000" w:themeColor="text1"/>
          <w:sz w:val="28"/>
          <w:szCs w:val="28"/>
        </w:rPr>
        <w:t>onsejero</w:t>
      </w:r>
      <w:r w:rsidR="00DE3457">
        <w:rPr>
          <w:rFonts w:ascii="Arial Narrow" w:hAnsi="Arial Narrow"/>
          <w:color w:val="000000" w:themeColor="text1"/>
          <w:sz w:val="28"/>
          <w:szCs w:val="28"/>
        </w:rPr>
        <w:t>s</w:t>
      </w:r>
      <w:r w:rsidRPr="00DD28BB">
        <w:rPr>
          <w:rFonts w:ascii="Arial Narrow" w:hAnsi="Arial Narrow"/>
          <w:color w:val="000000" w:themeColor="text1"/>
          <w:sz w:val="28"/>
          <w:szCs w:val="28"/>
        </w:rPr>
        <w:t xml:space="preserve"> de Hacienda y Administración Pública, Fernando Gimeno</w:t>
      </w:r>
      <w:r w:rsidR="009C3C1F" w:rsidRPr="00DD28BB">
        <w:rPr>
          <w:rFonts w:ascii="Arial Narrow" w:hAnsi="Arial Narrow"/>
          <w:color w:val="000000" w:themeColor="text1"/>
          <w:sz w:val="28"/>
          <w:szCs w:val="28"/>
        </w:rPr>
        <w:t xml:space="preserve">, </w:t>
      </w:r>
      <w:r w:rsidRPr="00DD28BB">
        <w:rPr>
          <w:rFonts w:ascii="Arial Narrow" w:hAnsi="Arial Narrow"/>
          <w:color w:val="000000" w:themeColor="text1"/>
          <w:sz w:val="28"/>
          <w:szCs w:val="28"/>
        </w:rPr>
        <w:t>de Vertebración de</w:t>
      </w:r>
      <w:r w:rsidR="00DE3457">
        <w:rPr>
          <w:rFonts w:ascii="Arial Narrow" w:hAnsi="Arial Narrow"/>
          <w:color w:val="000000" w:themeColor="text1"/>
          <w:sz w:val="28"/>
          <w:szCs w:val="28"/>
        </w:rPr>
        <w:t>l</w:t>
      </w:r>
      <w:r w:rsidRPr="00DD28BB">
        <w:rPr>
          <w:rFonts w:ascii="Arial Narrow" w:hAnsi="Arial Narrow"/>
          <w:color w:val="000000" w:themeColor="text1"/>
          <w:sz w:val="28"/>
          <w:szCs w:val="28"/>
        </w:rPr>
        <w:t xml:space="preserve"> Territorio, Movilidad y Vivienda, José Luis Soro</w:t>
      </w:r>
      <w:r w:rsidR="00DD28BB" w:rsidRPr="00DD28BB">
        <w:rPr>
          <w:rFonts w:ascii="Arial Narrow" w:hAnsi="Arial Narrow"/>
          <w:color w:val="000000" w:themeColor="text1"/>
          <w:sz w:val="28"/>
          <w:szCs w:val="28"/>
        </w:rPr>
        <w:t>,</w:t>
      </w:r>
      <w:r w:rsidR="009C3C1F" w:rsidRPr="00DD28BB">
        <w:rPr>
          <w:rFonts w:ascii="Arial Narrow" w:hAnsi="Arial Narrow"/>
          <w:color w:val="000000" w:themeColor="text1"/>
          <w:sz w:val="28"/>
          <w:szCs w:val="28"/>
        </w:rPr>
        <w:t xml:space="preserve"> </w:t>
      </w:r>
      <w:r w:rsidRPr="00DD28BB">
        <w:rPr>
          <w:rFonts w:ascii="Arial Narrow" w:hAnsi="Arial Narrow"/>
          <w:color w:val="000000" w:themeColor="text1"/>
          <w:sz w:val="28"/>
          <w:szCs w:val="28"/>
        </w:rPr>
        <w:t xml:space="preserve">de Desarrollo Rural </w:t>
      </w:r>
      <w:r w:rsidR="00DE3457">
        <w:rPr>
          <w:rFonts w:ascii="Arial Narrow" w:hAnsi="Arial Narrow"/>
          <w:color w:val="000000" w:themeColor="text1"/>
          <w:sz w:val="28"/>
          <w:szCs w:val="28"/>
        </w:rPr>
        <w:t xml:space="preserve">y Sostenibilidad, Joaquín </w:t>
      </w:r>
      <w:proofErr w:type="spellStart"/>
      <w:r w:rsidR="00DE3457">
        <w:rPr>
          <w:rFonts w:ascii="Arial Narrow" w:hAnsi="Arial Narrow"/>
          <w:color w:val="000000" w:themeColor="text1"/>
          <w:sz w:val="28"/>
          <w:szCs w:val="28"/>
        </w:rPr>
        <w:t>Olana</w:t>
      </w:r>
      <w:proofErr w:type="spellEnd"/>
      <w:r w:rsidR="00DE3457">
        <w:rPr>
          <w:rFonts w:ascii="Arial Narrow" w:hAnsi="Arial Narrow"/>
          <w:color w:val="000000" w:themeColor="text1"/>
          <w:sz w:val="28"/>
          <w:szCs w:val="28"/>
        </w:rPr>
        <w:t xml:space="preserve">, de Innovación, Investigación y Universidad, Pilar Alegría, de Sanidad, </w:t>
      </w:r>
      <w:r w:rsidR="00AC4A1D">
        <w:rPr>
          <w:rFonts w:ascii="Arial Narrow" w:hAnsi="Arial Narrow"/>
          <w:color w:val="000000" w:themeColor="text1"/>
          <w:sz w:val="28"/>
          <w:szCs w:val="28"/>
        </w:rPr>
        <w:t xml:space="preserve">Sebastián Celaya, </w:t>
      </w:r>
      <w:r w:rsidR="00DE3457">
        <w:rPr>
          <w:rFonts w:ascii="Arial Narrow" w:hAnsi="Arial Narrow"/>
          <w:color w:val="000000" w:themeColor="text1"/>
          <w:sz w:val="28"/>
          <w:szCs w:val="28"/>
        </w:rPr>
        <w:t xml:space="preserve">y </w:t>
      </w:r>
      <w:r w:rsidR="00AC4A1D">
        <w:rPr>
          <w:rFonts w:ascii="Arial Narrow" w:hAnsi="Arial Narrow"/>
          <w:color w:val="000000" w:themeColor="text1"/>
          <w:sz w:val="28"/>
          <w:szCs w:val="28"/>
        </w:rPr>
        <w:t xml:space="preserve">por el </w:t>
      </w:r>
      <w:r w:rsidR="00DE3457">
        <w:rPr>
          <w:rFonts w:ascii="Arial Narrow" w:hAnsi="Arial Narrow"/>
          <w:color w:val="000000" w:themeColor="text1"/>
          <w:sz w:val="28"/>
          <w:szCs w:val="28"/>
        </w:rPr>
        <w:t>secretario general de la Presidencia del Gobierno de Arag</w:t>
      </w:r>
      <w:r w:rsidR="00AC4A1D">
        <w:rPr>
          <w:rFonts w:ascii="Arial Narrow" w:hAnsi="Arial Narrow"/>
          <w:color w:val="000000" w:themeColor="text1"/>
          <w:sz w:val="28"/>
          <w:szCs w:val="28"/>
        </w:rPr>
        <w:t>ón, Julio César Tejedor</w:t>
      </w:r>
    </w:p>
    <w:p w:rsidR="009C3C1F" w:rsidRPr="00DD28BB" w:rsidRDefault="009C3C1F" w:rsidP="0052085D">
      <w:pPr>
        <w:ind w:left="1701"/>
        <w:jc w:val="both"/>
        <w:rPr>
          <w:rFonts w:ascii="Arial Narrow" w:hAnsi="Arial Narrow"/>
          <w:color w:val="000000" w:themeColor="text1"/>
          <w:sz w:val="28"/>
          <w:szCs w:val="28"/>
        </w:rPr>
      </w:pPr>
    </w:p>
    <w:p w:rsidR="009C3C1F" w:rsidRPr="00DD28BB" w:rsidRDefault="005B329D" w:rsidP="0052085D">
      <w:pPr>
        <w:ind w:left="1701"/>
        <w:jc w:val="both"/>
        <w:rPr>
          <w:rFonts w:ascii="Arial Narrow" w:hAnsi="Arial Narrow"/>
          <w:b/>
          <w:color w:val="000000" w:themeColor="text1"/>
          <w:sz w:val="28"/>
          <w:szCs w:val="28"/>
          <w:u w:val="single"/>
        </w:rPr>
      </w:pPr>
      <w:r>
        <w:rPr>
          <w:rFonts w:ascii="Arial Narrow" w:hAnsi="Arial Narrow"/>
          <w:b/>
          <w:color w:val="000000" w:themeColor="text1"/>
          <w:sz w:val="28"/>
          <w:szCs w:val="28"/>
          <w:u w:val="single"/>
        </w:rPr>
        <w:t>A</w:t>
      </w:r>
      <w:r w:rsidR="00531274">
        <w:rPr>
          <w:rFonts w:ascii="Arial Narrow" w:hAnsi="Arial Narrow"/>
          <w:b/>
          <w:color w:val="000000" w:themeColor="text1"/>
          <w:sz w:val="28"/>
          <w:szCs w:val="28"/>
          <w:u w:val="single"/>
        </w:rPr>
        <w:t>cuerdos alcanzados</w:t>
      </w:r>
    </w:p>
    <w:p w:rsidR="009C3C1F" w:rsidRPr="00DD28BB" w:rsidRDefault="009C3C1F" w:rsidP="0052085D">
      <w:pPr>
        <w:ind w:left="1701"/>
        <w:jc w:val="both"/>
        <w:rPr>
          <w:rFonts w:ascii="Arial Narrow" w:hAnsi="Arial Narrow"/>
          <w:b/>
          <w:color w:val="000000" w:themeColor="text1"/>
          <w:sz w:val="28"/>
          <w:szCs w:val="28"/>
        </w:rPr>
      </w:pPr>
    </w:p>
    <w:p w:rsidR="00AC6385" w:rsidRDefault="009C3C1F" w:rsidP="0052085D">
      <w:pPr>
        <w:ind w:left="1701"/>
        <w:jc w:val="both"/>
        <w:rPr>
          <w:rFonts w:ascii="Arial Narrow" w:hAnsi="Arial Narrow"/>
          <w:color w:val="000000" w:themeColor="text1"/>
          <w:sz w:val="28"/>
          <w:szCs w:val="28"/>
        </w:rPr>
      </w:pPr>
      <w:r w:rsidRPr="00DD28BB">
        <w:rPr>
          <w:rFonts w:ascii="Arial Narrow" w:hAnsi="Arial Narrow"/>
          <w:color w:val="000000" w:themeColor="text1"/>
          <w:sz w:val="28"/>
          <w:szCs w:val="28"/>
        </w:rPr>
        <w:t xml:space="preserve">La Comisión ha abordado </w:t>
      </w:r>
      <w:r w:rsidR="00AC6385">
        <w:rPr>
          <w:rFonts w:ascii="Arial Narrow" w:hAnsi="Arial Narrow"/>
          <w:color w:val="000000" w:themeColor="text1"/>
          <w:sz w:val="28"/>
          <w:szCs w:val="28"/>
        </w:rPr>
        <w:t xml:space="preserve">diecisiete puntos en el orden del día, entre ellos, </w:t>
      </w:r>
      <w:r w:rsidR="00531274">
        <w:rPr>
          <w:rFonts w:ascii="Arial Narrow" w:hAnsi="Arial Narrow"/>
          <w:color w:val="000000" w:themeColor="text1"/>
          <w:sz w:val="28"/>
          <w:szCs w:val="28"/>
        </w:rPr>
        <w:t xml:space="preserve">los </w:t>
      </w:r>
      <w:r w:rsidR="005B329D">
        <w:rPr>
          <w:rFonts w:ascii="Arial Narrow" w:hAnsi="Arial Narrow"/>
          <w:color w:val="000000" w:themeColor="text1"/>
          <w:sz w:val="28"/>
          <w:szCs w:val="28"/>
        </w:rPr>
        <w:t>acuerdos</w:t>
      </w:r>
      <w:r w:rsidR="00AC6385">
        <w:rPr>
          <w:rFonts w:ascii="Arial Narrow" w:hAnsi="Arial Narrow"/>
          <w:color w:val="000000" w:themeColor="text1"/>
          <w:sz w:val="28"/>
          <w:szCs w:val="28"/>
        </w:rPr>
        <w:t xml:space="preserve"> acuerdos alcanzados:</w:t>
      </w:r>
    </w:p>
    <w:p w:rsidR="00AC6385" w:rsidRDefault="00AC6385" w:rsidP="0052085D">
      <w:pPr>
        <w:ind w:left="1701"/>
        <w:jc w:val="both"/>
        <w:rPr>
          <w:rFonts w:ascii="Arial Narrow" w:hAnsi="Arial Narrow"/>
          <w:color w:val="000000" w:themeColor="text1"/>
          <w:sz w:val="28"/>
          <w:szCs w:val="28"/>
        </w:rPr>
      </w:pPr>
    </w:p>
    <w:p w:rsidR="00AC6385" w:rsidRPr="003D3121" w:rsidRDefault="00AC6385" w:rsidP="0001214A">
      <w:pPr>
        <w:pStyle w:val="Prrafodelista"/>
        <w:numPr>
          <w:ilvl w:val="0"/>
          <w:numId w:val="42"/>
        </w:numPr>
        <w:ind w:left="2127" w:hanging="426"/>
        <w:jc w:val="both"/>
        <w:rPr>
          <w:rFonts w:ascii="Arial Narrow" w:hAnsi="Arial Narrow"/>
          <w:color w:val="000000" w:themeColor="text1"/>
          <w:sz w:val="28"/>
          <w:szCs w:val="28"/>
        </w:rPr>
      </w:pPr>
      <w:r w:rsidRPr="003D3121">
        <w:rPr>
          <w:rFonts w:ascii="Arial Narrow" w:hAnsi="Arial Narrow"/>
          <w:b/>
          <w:color w:val="000000" w:themeColor="text1"/>
          <w:sz w:val="28"/>
          <w:szCs w:val="28"/>
        </w:rPr>
        <w:t>Modificación del reglamento</w:t>
      </w:r>
      <w:r w:rsidRPr="003D3121">
        <w:rPr>
          <w:rFonts w:ascii="Arial Narrow" w:hAnsi="Arial Narrow"/>
          <w:color w:val="000000" w:themeColor="text1"/>
          <w:sz w:val="28"/>
          <w:szCs w:val="28"/>
        </w:rPr>
        <w:t>. Se crea un grupo de trabajo</w:t>
      </w:r>
      <w:r w:rsidR="000C1070" w:rsidRPr="003D3121">
        <w:rPr>
          <w:rFonts w:ascii="Arial Narrow" w:hAnsi="Arial Narrow"/>
          <w:color w:val="000000" w:themeColor="text1"/>
          <w:sz w:val="28"/>
          <w:szCs w:val="28"/>
        </w:rPr>
        <w:t xml:space="preserve"> permanente para el seguimiento semestral de los acuerdos alcanzados en la Comisión Bilateral, garantizando así su cumplimiento.</w:t>
      </w:r>
    </w:p>
    <w:p w:rsidR="000C1070" w:rsidRDefault="000C1070" w:rsidP="0001214A">
      <w:pPr>
        <w:ind w:left="2127" w:hanging="426"/>
        <w:jc w:val="both"/>
        <w:rPr>
          <w:rFonts w:ascii="Arial Narrow" w:hAnsi="Arial Narrow"/>
          <w:color w:val="000000" w:themeColor="text1"/>
          <w:sz w:val="28"/>
          <w:szCs w:val="28"/>
        </w:rPr>
      </w:pPr>
    </w:p>
    <w:p w:rsidR="000C1070" w:rsidRPr="003D3121" w:rsidRDefault="000C1070" w:rsidP="0001214A">
      <w:pPr>
        <w:pStyle w:val="Prrafodelista"/>
        <w:numPr>
          <w:ilvl w:val="0"/>
          <w:numId w:val="42"/>
        </w:numPr>
        <w:ind w:left="2127" w:hanging="426"/>
        <w:jc w:val="both"/>
        <w:rPr>
          <w:rFonts w:ascii="Arial Narrow" w:hAnsi="Arial Narrow"/>
          <w:color w:val="000000" w:themeColor="text1"/>
          <w:sz w:val="28"/>
          <w:szCs w:val="28"/>
        </w:rPr>
      </w:pPr>
      <w:r w:rsidRPr="003D3121">
        <w:rPr>
          <w:rFonts w:ascii="Arial Narrow" w:hAnsi="Arial Narrow"/>
          <w:b/>
          <w:color w:val="000000" w:themeColor="text1"/>
          <w:sz w:val="28"/>
          <w:szCs w:val="28"/>
        </w:rPr>
        <w:t>Fin de controversias competenciales.</w:t>
      </w:r>
      <w:r w:rsidRPr="003D3121">
        <w:rPr>
          <w:rFonts w:ascii="Arial Narrow" w:hAnsi="Arial Narrow"/>
          <w:color w:val="000000" w:themeColor="text1"/>
          <w:sz w:val="28"/>
          <w:szCs w:val="28"/>
        </w:rPr>
        <w:t xml:space="preserve"> El Estado y Aragón expresan su voluntad de llegar a un acuerdo, a través de la subcomisión de seguimiento normativo, para poner fin al recurso contra la oferta de empleo público extraordinaria de 1.483 plazas</w:t>
      </w:r>
      <w:r w:rsidR="00531274">
        <w:rPr>
          <w:rFonts w:ascii="Arial Narrow" w:hAnsi="Arial Narrow"/>
          <w:color w:val="000000" w:themeColor="text1"/>
          <w:sz w:val="28"/>
          <w:szCs w:val="28"/>
        </w:rPr>
        <w:t xml:space="preserve"> de la Comunidad Autónoma</w:t>
      </w:r>
      <w:r w:rsidRPr="003D3121">
        <w:rPr>
          <w:rFonts w:ascii="Arial Narrow" w:hAnsi="Arial Narrow"/>
          <w:color w:val="000000" w:themeColor="text1"/>
          <w:sz w:val="28"/>
          <w:szCs w:val="28"/>
        </w:rPr>
        <w:t xml:space="preserve"> en 2016.</w:t>
      </w:r>
    </w:p>
    <w:p w:rsidR="000C1070" w:rsidRDefault="000C1070" w:rsidP="0001214A">
      <w:pPr>
        <w:ind w:left="2127" w:hanging="426"/>
        <w:jc w:val="both"/>
        <w:rPr>
          <w:rFonts w:ascii="Arial Narrow" w:hAnsi="Arial Narrow"/>
          <w:color w:val="000000" w:themeColor="text1"/>
          <w:sz w:val="28"/>
          <w:szCs w:val="28"/>
        </w:rPr>
      </w:pPr>
    </w:p>
    <w:p w:rsidR="000C1070" w:rsidRDefault="000C1070" w:rsidP="0001214A">
      <w:pPr>
        <w:pStyle w:val="Prrafodelista"/>
        <w:numPr>
          <w:ilvl w:val="0"/>
          <w:numId w:val="42"/>
        </w:numPr>
        <w:ind w:left="2127" w:hanging="426"/>
        <w:jc w:val="both"/>
        <w:rPr>
          <w:rFonts w:ascii="Arial Narrow" w:hAnsi="Arial Narrow"/>
          <w:color w:val="000000" w:themeColor="text1"/>
          <w:sz w:val="28"/>
          <w:szCs w:val="28"/>
        </w:rPr>
      </w:pPr>
      <w:r w:rsidRPr="003D3121">
        <w:rPr>
          <w:rFonts w:ascii="Arial Narrow" w:hAnsi="Arial Narrow"/>
          <w:b/>
          <w:color w:val="000000" w:themeColor="text1"/>
          <w:sz w:val="28"/>
          <w:szCs w:val="28"/>
        </w:rPr>
        <w:t>Protocolo de intenciones para garantizar el FITE</w:t>
      </w:r>
      <w:r w:rsidRPr="003D3121">
        <w:rPr>
          <w:rFonts w:ascii="Arial Narrow" w:hAnsi="Arial Narrow"/>
          <w:color w:val="000000" w:themeColor="text1"/>
          <w:sz w:val="28"/>
          <w:szCs w:val="28"/>
        </w:rPr>
        <w:t xml:space="preserve">. El Fondo de Inversiones </w:t>
      </w:r>
      <w:r w:rsidR="00531274">
        <w:rPr>
          <w:rFonts w:ascii="Arial Narrow" w:hAnsi="Arial Narrow"/>
          <w:color w:val="000000" w:themeColor="text1"/>
          <w:sz w:val="28"/>
          <w:szCs w:val="28"/>
        </w:rPr>
        <w:t>de</w:t>
      </w:r>
      <w:r w:rsidRPr="003D3121">
        <w:rPr>
          <w:rFonts w:ascii="Arial Narrow" w:hAnsi="Arial Narrow"/>
          <w:color w:val="000000" w:themeColor="text1"/>
          <w:sz w:val="28"/>
          <w:szCs w:val="28"/>
        </w:rPr>
        <w:t xml:space="preserve"> Teruel, que este año recibirá del Estado 30 millones</w:t>
      </w:r>
      <w:r w:rsidR="00531274">
        <w:rPr>
          <w:rFonts w:ascii="Arial Narrow" w:hAnsi="Arial Narrow"/>
          <w:color w:val="000000" w:themeColor="text1"/>
          <w:sz w:val="28"/>
          <w:szCs w:val="28"/>
        </w:rPr>
        <w:t xml:space="preserve"> para</w:t>
      </w:r>
      <w:r w:rsidRPr="003D3121">
        <w:rPr>
          <w:rFonts w:ascii="Arial Narrow" w:hAnsi="Arial Narrow"/>
          <w:color w:val="000000" w:themeColor="text1"/>
          <w:sz w:val="28"/>
          <w:szCs w:val="28"/>
        </w:rPr>
        <w:t xml:space="preserve"> infraestructuras </w:t>
      </w:r>
      <w:r w:rsidR="00531274">
        <w:rPr>
          <w:rFonts w:ascii="Arial Narrow" w:hAnsi="Arial Narrow"/>
          <w:color w:val="000000" w:themeColor="text1"/>
          <w:sz w:val="28"/>
          <w:szCs w:val="28"/>
        </w:rPr>
        <w:t>en</w:t>
      </w:r>
      <w:r w:rsidRPr="003D3121">
        <w:rPr>
          <w:rFonts w:ascii="Arial Narrow" w:hAnsi="Arial Narrow"/>
          <w:color w:val="000000" w:themeColor="text1"/>
          <w:sz w:val="28"/>
          <w:szCs w:val="28"/>
        </w:rPr>
        <w:t xml:space="preserve"> la provincia, además de los 30 que recibirá de la Comunidad Autónoma, seguirá financiándose al menos hasta 2020.</w:t>
      </w:r>
    </w:p>
    <w:p w:rsidR="00DE3457" w:rsidRPr="00DE3457" w:rsidRDefault="00DE3457" w:rsidP="0001214A">
      <w:pPr>
        <w:pStyle w:val="Prrafodelista"/>
        <w:ind w:left="2127" w:hanging="426"/>
        <w:rPr>
          <w:rFonts w:ascii="Arial Narrow" w:hAnsi="Arial Narrow"/>
          <w:color w:val="000000" w:themeColor="text1"/>
          <w:sz w:val="28"/>
          <w:szCs w:val="28"/>
        </w:rPr>
      </w:pPr>
    </w:p>
    <w:p w:rsidR="00B0006A" w:rsidRPr="003D3121" w:rsidRDefault="00B0006A" w:rsidP="0001214A">
      <w:pPr>
        <w:pStyle w:val="Prrafodelista"/>
        <w:numPr>
          <w:ilvl w:val="0"/>
          <w:numId w:val="42"/>
        </w:numPr>
        <w:ind w:left="2127" w:hanging="426"/>
        <w:jc w:val="both"/>
        <w:rPr>
          <w:rFonts w:ascii="Arial Narrow" w:hAnsi="Arial Narrow"/>
          <w:color w:val="000000" w:themeColor="text1"/>
          <w:sz w:val="28"/>
          <w:szCs w:val="28"/>
        </w:rPr>
      </w:pPr>
      <w:r w:rsidRPr="00531274">
        <w:rPr>
          <w:rFonts w:ascii="Arial Narrow" w:hAnsi="Arial Narrow"/>
          <w:color w:val="000000" w:themeColor="text1"/>
          <w:sz w:val="28"/>
          <w:szCs w:val="28"/>
        </w:rPr>
        <w:t>Medio Ambiente:</w:t>
      </w:r>
      <w:r w:rsidRPr="003D3121">
        <w:rPr>
          <w:rFonts w:ascii="Arial Narrow" w:hAnsi="Arial Narrow"/>
          <w:b/>
          <w:color w:val="000000" w:themeColor="text1"/>
          <w:sz w:val="28"/>
          <w:szCs w:val="28"/>
        </w:rPr>
        <w:t xml:space="preserve"> descontaminación integral del </w:t>
      </w:r>
      <w:proofErr w:type="spellStart"/>
      <w:r w:rsidRPr="003D3121">
        <w:rPr>
          <w:rFonts w:ascii="Arial Narrow" w:hAnsi="Arial Narrow"/>
          <w:b/>
          <w:color w:val="000000" w:themeColor="text1"/>
          <w:sz w:val="28"/>
          <w:szCs w:val="28"/>
        </w:rPr>
        <w:t>lindano</w:t>
      </w:r>
      <w:proofErr w:type="spellEnd"/>
      <w:r w:rsidRPr="003D3121">
        <w:rPr>
          <w:rFonts w:ascii="Arial Narrow" w:hAnsi="Arial Narrow"/>
          <w:b/>
          <w:color w:val="000000" w:themeColor="text1"/>
          <w:sz w:val="28"/>
          <w:szCs w:val="28"/>
        </w:rPr>
        <w:t xml:space="preserve"> en el río Gállego</w:t>
      </w:r>
      <w:r w:rsidRPr="003D3121">
        <w:rPr>
          <w:rFonts w:ascii="Arial Narrow" w:hAnsi="Arial Narrow"/>
          <w:color w:val="000000" w:themeColor="text1"/>
          <w:sz w:val="28"/>
          <w:szCs w:val="28"/>
        </w:rPr>
        <w:t>.</w:t>
      </w:r>
    </w:p>
    <w:p w:rsidR="00B0006A" w:rsidRDefault="00B0006A" w:rsidP="0001214A">
      <w:pPr>
        <w:ind w:left="2127" w:hanging="426"/>
        <w:jc w:val="both"/>
        <w:rPr>
          <w:rFonts w:ascii="Arial Narrow" w:hAnsi="Arial Narrow"/>
          <w:color w:val="000000" w:themeColor="text1"/>
          <w:sz w:val="28"/>
          <w:szCs w:val="28"/>
        </w:rPr>
      </w:pPr>
    </w:p>
    <w:p w:rsidR="00B0006A" w:rsidRPr="003D3121" w:rsidRDefault="00B0006A" w:rsidP="0001214A">
      <w:pPr>
        <w:pStyle w:val="Prrafodelista"/>
        <w:numPr>
          <w:ilvl w:val="0"/>
          <w:numId w:val="42"/>
        </w:numPr>
        <w:ind w:left="2127" w:hanging="426"/>
        <w:jc w:val="both"/>
        <w:rPr>
          <w:rFonts w:ascii="Arial Narrow" w:hAnsi="Arial Narrow"/>
          <w:color w:val="000000" w:themeColor="text1"/>
          <w:sz w:val="28"/>
          <w:szCs w:val="28"/>
        </w:rPr>
      </w:pPr>
      <w:r w:rsidRPr="00531274">
        <w:rPr>
          <w:rFonts w:ascii="Arial Narrow" w:hAnsi="Arial Narrow"/>
          <w:color w:val="000000" w:themeColor="text1"/>
          <w:sz w:val="28"/>
          <w:szCs w:val="28"/>
        </w:rPr>
        <w:t>Medio Ambiente:</w:t>
      </w:r>
      <w:r w:rsidRPr="003D3121">
        <w:rPr>
          <w:rFonts w:ascii="Arial Narrow" w:hAnsi="Arial Narrow"/>
          <w:b/>
          <w:color w:val="000000" w:themeColor="text1"/>
          <w:sz w:val="28"/>
          <w:szCs w:val="28"/>
        </w:rPr>
        <w:t xml:space="preserve"> celebración del primer centenario de la declaración del Parque Nacional de </w:t>
      </w:r>
      <w:proofErr w:type="spellStart"/>
      <w:r w:rsidRPr="003D3121">
        <w:rPr>
          <w:rFonts w:ascii="Arial Narrow" w:hAnsi="Arial Narrow"/>
          <w:b/>
          <w:color w:val="000000" w:themeColor="text1"/>
          <w:sz w:val="28"/>
          <w:szCs w:val="28"/>
        </w:rPr>
        <w:t>Ordesa</w:t>
      </w:r>
      <w:proofErr w:type="spellEnd"/>
      <w:r w:rsidRPr="003D3121">
        <w:rPr>
          <w:rFonts w:ascii="Arial Narrow" w:hAnsi="Arial Narrow"/>
          <w:b/>
          <w:color w:val="000000" w:themeColor="text1"/>
          <w:sz w:val="28"/>
          <w:szCs w:val="28"/>
        </w:rPr>
        <w:t xml:space="preserve"> y Monte Perdido</w:t>
      </w:r>
      <w:r w:rsidRPr="003D3121">
        <w:rPr>
          <w:rFonts w:ascii="Arial Narrow" w:hAnsi="Arial Narrow"/>
          <w:color w:val="000000" w:themeColor="text1"/>
          <w:sz w:val="28"/>
          <w:szCs w:val="28"/>
        </w:rPr>
        <w:t>.</w:t>
      </w:r>
    </w:p>
    <w:p w:rsidR="00B0006A" w:rsidRDefault="00B0006A" w:rsidP="0001214A">
      <w:pPr>
        <w:ind w:left="2127" w:hanging="426"/>
        <w:jc w:val="both"/>
        <w:rPr>
          <w:rFonts w:ascii="Arial Narrow" w:hAnsi="Arial Narrow"/>
          <w:color w:val="000000" w:themeColor="text1"/>
          <w:sz w:val="28"/>
          <w:szCs w:val="28"/>
        </w:rPr>
      </w:pPr>
    </w:p>
    <w:p w:rsidR="00B0006A" w:rsidRPr="003D3121" w:rsidRDefault="00B0006A" w:rsidP="0001214A">
      <w:pPr>
        <w:pStyle w:val="Prrafodelista"/>
        <w:numPr>
          <w:ilvl w:val="0"/>
          <w:numId w:val="42"/>
        </w:numPr>
        <w:ind w:left="2127" w:hanging="426"/>
        <w:jc w:val="both"/>
        <w:rPr>
          <w:rFonts w:ascii="Arial Narrow" w:hAnsi="Arial Narrow"/>
          <w:color w:val="000000" w:themeColor="text1"/>
          <w:sz w:val="28"/>
          <w:szCs w:val="28"/>
        </w:rPr>
      </w:pPr>
      <w:r w:rsidRPr="00531274">
        <w:rPr>
          <w:rFonts w:ascii="Arial Narrow" w:hAnsi="Arial Narrow"/>
          <w:color w:val="000000" w:themeColor="text1"/>
          <w:sz w:val="28"/>
          <w:szCs w:val="28"/>
        </w:rPr>
        <w:t>Medio Ambiente</w:t>
      </w:r>
      <w:r w:rsidRPr="003D3121">
        <w:rPr>
          <w:rFonts w:ascii="Arial Narrow" w:hAnsi="Arial Narrow"/>
          <w:b/>
          <w:color w:val="000000" w:themeColor="text1"/>
          <w:sz w:val="28"/>
          <w:szCs w:val="28"/>
        </w:rPr>
        <w:t xml:space="preserve">: elevación de las aguas de Andorra y regulación de las balsas laterales de </w:t>
      </w:r>
      <w:proofErr w:type="spellStart"/>
      <w:r w:rsidRPr="003D3121">
        <w:rPr>
          <w:rFonts w:ascii="Arial Narrow" w:hAnsi="Arial Narrow"/>
          <w:b/>
          <w:color w:val="000000" w:themeColor="text1"/>
          <w:sz w:val="28"/>
          <w:szCs w:val="28"/>
        </w:rPr>
        <w:t>Tastavins</w:t>
      </w:r>
      <w:proofErr w:type="spellEnd"/>
      <w:r w:rsidRPr="003D3121">
        <w:rPr>
          <w:rFonts w:ascii="Arial Narrow" w:hAnsi="Arial Narrow"/>
          <w:b/>
          <w:color w:val="000000" w:themeColor="text1"/>
          <w:sz w:val="28"/>
          <w:szCs w:val="28"/>
        </w:rPr>
        <w:t xml:space="preserve"> y de Algas</w:t>
      </w:r>
      <w:r w:rsidRPr="003D3121">
        <w:rPr>
          <w:rFonts w:ascii="Arial Narrow" w:hAnsi="Arial Narrow"/>
          <w:color w:val="000000" w:themeColor="text1"/>
          <w:sz w:val="28"/>
          <w:szCs w:val="28"/>
        </w:rPr>
        <w:t>.</w:t>
      </w:r>
    </w:p>
    <w:p w:rsidR="00B0006A" w:rsidRDefault="00B0006A" w:rsidP="0001214A">
      <w:pPr>
        <w:pStyle w:val="Prrafodelista"/>
        <w:numPr>
          <w:ilvl w:val="0"/>
          <w:numId w:val="42"/>
        </w:numPr>
        <w:ind w:left="2127" w:hanging="426"/>
        <w:jc w:val="both"/>
        <w:rPr>
          <w:rFonts w:ascii="Arial Narrow" w:hAnsi="Arial Narrow"/>
          <w:color w:val="000000" w:themeColor="text1"/>
          <w:sz w:val="28"/>
          <w:szCs w:val="28"/>
        </w:rPr>
      </w:pPr>
      <w:r w:rsidRPr="00370527">
        <w:rPr>
          <w:rFonts w:ascii="Arial Narrow" w:hAnsi="Arial Narrow"/>
          <w:color w:val="000000" w:themeColor="text1"/>
          <w:sz w:val="28"/>
          <w:szCs w:val="28"/>
        </w:rPr>
        <w:lastRenderedPageBreak/>
        <w:t>Fomento:</w:t>
      </w:r>
      <w:r w:rsidRPr="00370527">
        <w:rPr>
          <w:rFonts w:ascii="Arial Narrow" w:hAnsi="Arial Narrow"/>
          <w:b/>
          <w:color w:val="000000" w:themeColor="text1"/>
          <w:sz w:val="28"/>
          <w:szCs w:val="28"/>
        </w:rPr>
        <w:t xml:space="preserve"> acuerdo sobre las obras en la N-232</w:t>
      </w:r>
      <w:r w:rsidR="00370527" w:rsidRPr="00370527">
        <w:rPr>
          <w:rFonts w:ascii="Arial Narrow" w:hAnsi="Arial Narrow"/>
          <w:color w:val="000000" w:themeColor="text1"/>
          <w:sz w:val="28"/>
          <w:szCs w:val="28"/>
        </w:rPr>
        <w:t xml:space="preserve">, que comenzarán en julio de 2017, en los tramos </w:t>
      </w:r>
      <w:proofErr w:type="spellStart"/>
      <w:r w:rsidR="00370527" w:rsidRPr="00370527">
        <w:rPr>
          <w:rFonts w:ascii="Arial Narrow" w:hAnsi="Arial Narrow"/>
          <w:color w:val="000000" w:themeColor="text1"/>
          <w:sz w:val="28"/>
          <w:szCs w:val="28"/>
        </w:rPr>
        <w:t>Gallur-Mallén</w:t>
      </w:r>
      <w:proofErr w:type="spellEnd"/>
      <w:r w:rsidR="00370527" w:rsidRPr="00370527">
        <w:rPr>
          <w:rFonts w:ascii="Arial Narrow" w:hAnsi="Arial Narrow"/>
          <w:color w:val="000000" w:themeColor="text1"/>
          <w:sz w:val="28"/>
          <w:szCs w:val="28"/>
        </w:rPr>
        <w:t>, con un presupuesto de</w:t>
      </w:r>
      <w:r w:rsidRPr="00370527">
        <w:rPr>
          <w:rFonts w:ascii="Arial Narrow" w:hAnsi="Arial Narrow"/>
          <w:color w:val="000000" w:themeColor="text1"/>
          <w:sz w:val="28"/>
          <w:szCs w:val="28"/>
        </w:rPr>
        <w:t xml:space="preserve"> 82,4 millones de euros. </w:t>
      </w:r>
    </w:p>
    <w:p w:rsidR="00370527" w:rsidRPr="00370527" w:rsidRDefault="00370527" w:rsidP="0001214A">
      <w:pPr>
        <w:pStyle w:val="Prrafodelista"/>
        <w:ind w:left="2127" w:hanging="426"/>
        <w:rPr>
          <w:rFonts w:ascii="Arial Narrow" w:hAnsi="Arial Narrow"/>
          <w:color w:val="000000" w:themeColor="text1"/>
          <w:sz w:val="28"/>
          <w:szCs w:val="28"/>
        </w:rPr>
      </w:pPr>
    </w:p>
    <w:p w:rsidR="00B0006A" w:rsidRDefault="00B0006A" w:rsidP="0001214A">
      <w:pPr>
        <w:pStyle w:val="Prrafodelista"/>
        <w:numPr>
          <w:ilvl w:val="0"/>
          <w:numId w:val="42"/>
        </w:numPr>
        <w:ind w:left="2127" w:hanging="426"/>
        <w:jc w:val="both"/>
        <w:rPr>
          <w:rFonts w:ascii="Arial Narrow" w:hAnsi="Arial Narrow"/>
          <w:color w:val="000000" w:themeColor="text1"/>
          <w:sz w:val="28"/>
          <w:szCs w:val="28"/>
        </w:rPr>
      </w:pPr>
      <w:r w:rsidRPr="00370527">
        <w:rPr>
          <w:rFonts w:ascii="Arial Narrow" w:hAnsi="Arial Narrow"/>
          <w:color w:val="000000" w:themeColor="text1"/>
          <w:sz w:val="28"/>
          <w:szCs w:val="28"/>
        </w:rPr>
        <w:t>Fomento:</w:t>
      </w:r>
      <w:r w:rsidRPr="00370527">
        <w:rPr>
          <w:rFonts w:ascii="Arial Narrow" w:hAnsi="Arial Narrow"/>
          <w:b/>
          <w:color w:val="000000" w:themeColor="text1"/>
          <w:sz w:val="28"/>
          <w:szCs w:val="28"/>
        </w:rPr>
        <w:t xml:space="preserve"> acuerdo sobre las obras en la N-260</w:t>
      </w:r>
      <w:r w:rsidR="00370527" w:rsidRPr="00370527">
        <w:rPr>
          <w:rFonts w:ascii="Arial Narrow" w:hAnsi="Arial Narrow"/>
          <w:b/>
          <w:color w:val="000000" w:themeColor="text1"/>
          <w:sz w:val="28"/>
          <w:szCs w:val="28"/>
        </w:rPr>
        <w:t xml:space="preserve">. </w:t>
      </w:r>
      <w:r w:rsidR="00370527" w:rsidRPr="00370527">
        <w:rPr>
          <w:rFonts w:ascii="Arial Narrow" w:hAnsi="Arial Narrow"/>
          <w:color w:val="000000" w:themeColor="text1"/>
          <w:sz w:val="28"/>
          <w:szCs w:val="28"/>
        </w:rPr>
        <w:t>En 2018 se iniciarán entre Congosto del Ventanillo-Campo, con un presupuesto de</w:t>
      </w:r>
      <w:r w:rsidR="00370527" w:rsidRPr="00370527">
        <w:rPr>
          <w:rFonts w:ascii="Arial Narrow" w:hAnsi="Arial Narrow"/>
          <w:b/>
          <w:color w:val="000000" w:themeColor="text1"/>
          <w:sz w:val="28"/>
          <w:szCs w:val="28"/>
        </w:rPr>
        <w:t xml:space="preserve"> </w:t>
      </w:r>
      <w:r w:rsidRPr="00370527">
        <w:rPr>
          <w:rFonts w:ascii="Arial Narrow" w:hAnsi="Arial Narrow"/>
          <w:color w:val="000000" w:themeColor="text1"/>
          <w:sz w:val="28"/>
          <w:szCs w:val="28"/>
        </w:rPr>
        <w:t xml:space="preserve">67,04 millones de euros. </w:t>
      </w:r>
    </w:p>
    <w:p w:rsidR="00370527" w:rsidRPr="00370527" w:rsidRDefault="00370527" w:rsidP="0001214A">
      <w:pPr>
        <w:pStyle w:val="Prrafodelista"/>
        <w:ind w:left="2127" w:hanging="426"/>
        <w:rPr>
          <w:rFonts w:ascii="Arial Narrow" w:hAnsi="Arial Narrow"/>
          <w:color w:val="000000" w:themeColor="text1"/>
          <w:sz w:val="28"/>
          <w:szCs w:val="28"/>
        </w:rPr>
      </w:pPr>
    </w:p>
    <w:p w:rsidR="00B0006A" w:rsidRPr="003D3121" w:rsidRDefault="00B0006A" w:rsidP="0001214A">
      <w:pPr>
        <w:pStyle w:val="Prrafodelista"/>
        <w:numPr>
          <w:ilvl w:val="0"/>
          <w:numId w:val="42"/>
        </w:numPr>
        <w:ind w:left="2127" w:hanging="426"/>
        <w:jc w:val="both"/>
        <w:rPr>
          <w:rFonts w:ascii="Arial Narrow" w:hAnsi="Arial Narrow"/>
          <w:color w:val="000000" w:themeColor="text1"/>
          <w:sz w:val="28"/>
          <w:szCs w:val="28"/>
        </w:rPr>
      </w:pPr>
      <w:r w:rsidRPr="003D3121">
        <w:rPr>
          <w:rFonts w:ascii="Arial Narrow" w:hAnsi="Arial Narrow"/>
          <w:b/>
          <w:color w:val="000000" w:themeColor="text1"/>
          <w:sz w:val="28"/>
          <w:szCs w:val="28"/>
        </w:rPr>
        <w:t>Grupo de trabajo para la financiación autonómica</w:t>
      </w:r>
      <w:r w:rsidRPr="003D3121">
        <w:rPr>
          <w:rFonts w:ascii="Arial Narrow" w:hAnsi="Arial Narrow"/>
          <w:color w:val="000000" w:themeColor="text1"/>
          <w:sz w:val="28"/>
          <w:szCs w:val="28"/>
        </w:rPr>
        <w:t xml:space="preserve">. </w:t>
      </w:r>
      <w:r w:rsidR="003D3121" w:rsidRPr="003D3121">
        <w:rPr>
          <w:rFonts w:ascii="Arial Narrow" w:hAnsi="Arial Narrow"/>
          <w:color w:val="000000" w:themeColor="text1"/>
          <w:sz w:val="28"/>
          <w:szCs w:val="28"/>
        </w:rPr>
        <w:t>Acuerdo que se traduce en un compromiso de la Comisión Bilateral, en relación al artículo 108 del Estatuto de Autonomía, para crear un grupo de trabajo que analizará, en materia de financiación autonómica, las particularidades de Aragón.</w:t>
      </w:r>
    </w:p>
    <w:p w:rsidR="00B0006A" w:rsidRDefault="00B0006A" w:rsidP="000C1070">
      <w:pPr>
        <w:ind w:left="1701"/>
        <w:jc w:val="both"/>
        <w:rPr>
          <w:rFonts w:ascii="Arial Narrow" w:hAnsi="Arial Narrow"/>
          <w:color w:val="000000" w:themeColor="text1"/>
          <w:sz w:val="28"/>
          <w:szCs w:val="28"/>
        </w:rPr>
      </w:pPr>
    </w:p>
    <w:p w:rsidR="003D3121" w:rsidRDefault="003D3121" w:rsidP="000C1070">
      <w:pPr>
        <w:ind w:left="1701"/>
        <w:jc w:val="both"/>
        <w:rPr>
          <w:rFonts w:ascii="Arial Narrow" w:hAnsi="Arial Narrow"/>
          <w:color w:val="000000" w:themeColor="text1"/>
          <w:sz w:val="28"/>
          <w:szCs w:val="28"/>
        </w:rPr>
      </w:pPr>
      <w:bookmarkStart w:id="0" w:name="_GoBack"/>
      <w:bookmarkEnd w:id="0"/>
      <w:r>
        <w:rPr>
          <w:rFonts w:ascii="Arial Narrow" w:hAnsi="Arial Narrow"/>
          <w:color w:val="000000" w:themeColor="text1"/>
          <w:sz w:val="28"/>
          <w:szCs w:val="28"/>
        </w:rPr>
        <w:t>A</w:t>
      </w:r>
      <w:r w:rsidR="0019438E">
        <w:rPr>
          <w:rFonts w:ascii="Arial Narrow" w:hAnsi="Arial Narrow"/>
          <w:color w:val="000000" w:themeColor="text1"/>
          <w:sz w:val="28"/>
          <w:szCs w:val="28"/>
        </w:rPr>
        <w:t>simismo</w:t>
      </w:r>
      <w:r>
        <w:rPr>
          <w:rFonts w:ascii="Arial Narrow" w:hAnsi="Arial Narrow"/>
          <w:color w:val="000000" w:themeColor="text1"/>
          <w:sz w:val="28"/>
          <w:szCs w:val="28"/>
        </w:rPr>
        <w:t xml:space="preserve">, y dentro de los puntos del orden del día, </w:t>
      </w:r>
      <w:r w:rsidR="003C5132">
        <w:rPr>
          <w:rFonts w:ascii="Arial Narrow" w:hAnsi="Arial Narrow"/>
          <w:color w:val="000000" w:themeColor="text1"/>
          <w:sz w:val="28"/>
          <w:szCs w:val="28"/>
        </w:rPr>
        <w:t>la Comisión Bilateral h</w:t>
      </w:r>
      <w:r>
        <w:rPr>
          <w:rFonts w:ascii="Arial Narrow" w:hAnsi="Arial Narrow"/>
          <w:color w:val="000000" w:themeColor="text1"/>
          <w:sz w:val="28"/>
          <w:szCs w:val="28"/>
        </w:rPr>
        <w:t>a analizado varios informes</w:t>
      </w:r>
      <w:r w:rsidR="00BC1C14">
        <w:rPr>
          <w:rFonts w:ascii="Arial Narrow" w:hAnsi="Arial Narrow"/>
          <w:color w:val="000000" w:themeColor="text1"/>
          <w:sz w:val="28"/>
          <w:szCs w:val="28"/>
        </w:rPr>
        <w:t xml:space="preserve"> y actuaciones</w:t>
      </w:r>
      <w:r w:rsidR="003C5132">
        <w:rPr>
          <w:rFonts w:ascii="Arial Narrow" w:hAnsi="Arial Narrow"/>
          <w:color w:val="000000" w:themeColor="text1"/>
          <w:sz w:val="28"/>
          <w:szCs w:val="28"/>
        </w:rPr>
        <w:t>:</w:t>
      </w:r>
      <w:r>
        <w:rPr>
          <w:rFonts w:ascii="Arial Narrow" w:hAnsi="Arial Narrow"/>
          <w:color w:val="000000" w:themeColor="text1"/>
          <w:sz w:val="28"/>
          <w:szCs w:val="28"/>
        </w:rPr>
        <w:t xml:space="preserve"> </w:t>
      </w:r>
    </w:p>
    <w:p w:rsidR="003D3121" w:rsidRDefault="003D3121" w:rsidP="000C1070">
      <w:pPr>
        <w:ind w:left="1701"/>
        <w:jc w:val="both"/>
        <w:rPr>
          <w:rFonts w:ascii="Arial Narrow" w:hAnsi="Arial Narrow"/>
          <w:color w:val="000000" w:themeColor="text1"/>
          <w:sz w:val="28"/>
          <w:szCs w:val="28"/>
        </w:rPr>
      </w:pPr>
    </w:p>
    <w:p w:rsidR="003D3121" w:rsidRDefault="003D3121" w:rsidP="00531274">
      <w:pPr>
        <w:pStyle w:val="Prrafodelista"/>
        <w:numPr>
          <w:ilvl w:val="0"/>
          <w:numId w:val="41"/>
        </w:numPr>
        <w:jc w:val="both"/>
        <w:rPr>
          <w:rFonts w:ascii="Arial Narrow" w:hAnsi="Arial Narrow"/>
          <w:color w:val="000000" w:themeColor="text1"/>
          <w:sz w:val="28"/>
          <w:szCs w:val="28"/>
        </w:rPr>
      </w:pPr>
      <w:r w:rsidRPr="003D3121">
        <w:rPr>
          <w:rFonts w:ascii="Arial Narrow" w:hAnsi="Arial Narrow"/>
          <w:color w:val="000000" w:themeColor="text1"/>
          <w:sz w:val="28"/>
          <w:szCs w:val="28"/>
        </w:rPr>
        <w:t xml:space="preserve">Informe sobre las </w:t>
      </w:r>
      <w:r w:rsidRPr="003C5132">
        <w:rPr>
          <w:rFonts w:ascii="Arial Narrow" w:hAnsi="Arial Narrow"/>
          <w:b/>
          <w:color w:val="000000" w:themeColor="text1"/>
          <w:sz w:val="28"/>
          <w:szCs w:val="28"/>
        </w:rPr>
        <w:t>implicaciones del plan de vivienda estatal en Aragón</w:t>
      </w:r>
      <w:r>
        <w:rPr>
          <w:rFonts w:ascii="Arial Narrow" w:hAnsi="Arial Narrow"/>
          <w:color w:val="000000" w:themeColor="text1"/>
          <w:sz w:val="28"/>
          <w:szCs w:val="28"/>
        </w:rPr>
        <w:t>.</w:t>
      </w:r>
    </w:p>
    <w:p w:rsidR="003C5132" w:rsidRDefault="003C5132" w:rsidP="003C5132">
      <w:pPr>
        <w:pStyle w:val="Prrafodelista"/>
        <w:ind w:left="2061"/>
        <w:jc w:val="both"/>
        <w:rPr>
          <w:rFonts w:ascii="Arial Narrow" w:hAnsi="Arial Narrow"/>
          <w:color w:val="000000" w:themeColor="text1"/>
          <w:sz w:val="28"/>
          <w:szCs w:val="28"/>
        </w:rPr>
      </w:pPr>
    </w:p>
    <w:p w:rsidR="003D3121" w:rsidRDefault="003D3121" w:rsidP="00531274">
      <w:pPr>
        <w:pStyle w:val="Prrafodelista"/>
        <w:numPr>
          <w:ilvl w:val="0"/>
          <w:numId w:val="41"/>
        </w:numPr>
        <w:jc w:val="both"/>
        <w:rPr>
          <w:rFonts w:ascii="Arial Narrow" w:hAnsi="Arial Narrow"/>
          <w:color w:val="000000" w:themeColor="text1"/>
          <w:sz w:val="28"/>
          <w:szCs w:val="28"/>
        </w:rPr>
      </w:pPr>
      <w:r w:rsidRPr="003D3121">
        <w:rPr>
          <w:rFonts w:ascii="Arial Narrow" w:hAnsi="Arial Narrow"/>
          <w:color w:val="000000" w:themeColor="text1"/>
          <w:sz w:val="28"/>
          <w:szCs w:val="28"/>
        </w:rPr>
        <w:t xml:space="preserve">informe sobre la </w:t>
      </w:r>
      <w:r w:rsidRPr="003C5132">
        <w:rPr>
          <w:rFonts w:ascii="Arial Narrow" w:hAnsi="Arial Narrow"/>
          <w:b/>
          <w:color w:val="000000" w:themeColor="text1"/>
          <w:sz w:val="28"/>
          <w:szCs w:val="28"/>
        </w:rPr>
        <w:t>bonificación del peaje a determinados vehículos y trayectos</w:t>
      </w:r>
      <w:r w:rsidRPr="003D3121">
        <w:rPr>
          <w:rFonts w:ascii="Arial Narrow" w:hAnsi="Arial Narrow"/>
          <w:color w:val="000000" w:themeColor="text1"/>
          <w:sz w:val="28"/>
          <w:szCs w:val="28"/>
        </w:rPr>
        <w:t>, con un coste de 6,67 millones de euros, en la AP-2 y AP-21</w:t>
      </w:r>
      <w:r>
        <w:rPr>
          <w:rFonts w:ascii="Arial Narrow" w:hAnsi="Arial Narrow"/>
          <w:color w:val="000000" w:themeColor="text1"/>
          <w:sz w:val="28"/>
          <w:szCs w:val="28"/>
        </w:rPr>
        <w:t>.</w:t>
      </w:r>
    </w:p>
    <w:p w:rsidR="00BC1C14" w:rsidRPr="00BC1C14" w:rsidRDefault="00BC1C14" w:rsidP="00BC1C14">
      <w:pPr>
        <w:pStyle w:val="Prrafodelista"/>
        <w:rPr>
          <w:rFonts w:ascii="Arial Narrow" w:hAnsi="Arial Narrow"/>
          <w:color w:val="000000" w:themeColor="text1"/>
          <w:sz w:val="28"/>
          <w:szCs w:val="28"/>
        </w:rPr>
      </w:pPr>
    </w:p>
    <w:p w:rsidR="00CC77F9" w:rsidRDefault="003D3121" w:rsidP="00531274">
      <w:pPr>
        <w:pStyle w:val="Prrafodelista"/>
        <w:numPr>
          <w:ilvl w:val="0"/>
          <w:numId w:val="41"/>
        </w:numPr>
        <w:jc w:val="both"/>
        <w:rPr>
          <w:rFonts w:ascii="Arial Narrow" w:hAnsi="Arial Narrow"/>
          <w:b/>
          <w:color w:val="000000" w:themeColor="text1"/>
          <w:sz w:val="28"/>
          <w:szCs w:val="28"/>
        </w:rPr>
      </w:pPr>
      <w:r>
        <w:rPr>
          <w:rFonts w:ascii="Arial Narrow" w:hAnsi="Arial Narrow"/>
          <w:color w:val="000000" w:themeColor="text1"/>
          <w:sz w:val="28"/>
          <w:szCs w:val="28"/>
        </w:rPr>
        <w:t>I</w:t>
      </w:r>
      <w:r w:rsidRPr="003D3121">
        <w:rPr>
          <w:rFonts w:ascii="Arial Narrow" w:hAnsi="Arial Narrow"/>
          <w:color w:val="000000" w:themeColor="text1"/>
          <w:sz w:val="28"/>
          <w:szCs w:val="28"/>
        </w:rPr>
        <w:t xml:space="preserve">nforme sobre </w:t>
      </w:r>
      <w:r w:rsidRPr="003C5132">
        <w:rPr>
          <w:rFonts w:ascii="Arial Narrow" w:hAnsi="Arial Narrow"/>
          <w:b/>
          <w:color w:val="000000" w:themeColor="text1"/>
          <w:sz w:val="28"/>
          <w:szCs w:val="28"/>
        </w:rPr>
        <w:t>dotaciones presupuestarias en los PGE 2017 para la A-21</w:t>
      </w:r>
      <w:r w:rsidRPr="003D3121">
        <w:rPr>
          <w:rFonts w:ascii="Arial Narrow" w:hAnsi="Arial Narrow"/>
          <w:color w:val="000000" w:themeColor="text1"/>
          <w:sz w:val="28"/>
          <w:szCs w:val="28"/>
        </w:rPr>
        <w:t>, por importe de 15,02 millones de euros</w:t>
      </w:r>
      <w:r>
        <w:rPr>
          <w:rFonts w:ascii="Arial Narrow" w:hAnsi="Arial Narrow"/>
          <w:color w:val="000000" w:themeColor="text1"/>
          <w:sz w:val="28"/>
          <w:szCs w:val="28"/>
        </w:rPr>
        <w:t>;</w:t>
      </w:r>
      <w:r w:rsidRPr="003D3121">
        <w:rPr>
          <w:rFonts w:ascii="Arial Narrow" w:hAnsi="Arial Narrow"/>
          <w:color w:val="000000" w:themeColor="text1"/>
          <w:sz w:val="28"/>
          <w:szCs w:val="28"/>
        </w:rPr>
        <w:t xml:space="preserve"> </w:t>
      </w:r>
      <w:r w:rsidRPr="003C5132">
        <w:rPr>
          <w:rFonts w:ascii="Arial Narrow" w:hAnsi="Arial Narrow"/>
          <w:color w:val="000000" w:themeColor="text1"/>
          <w:sz w:val="28"/>
          <w:szCs w:val="28"/>
        </w:rPr>
        <w:t>A-22, por importe de un millón de euros</w:t>
      </w:r>
      <w:r w:rsidRPr="003D3121">
        <w:rPr>
          <w:rFonts w:ascii="Arial Narrow" w:hAnsi="Arial Narrow"/>
          <w:color w:val="000000" w:themeColor="text1"/>
          <w:sz w:val="28"/>
          <w:szCs w:val="28"/>
        </w:rPr>
        <w:t xml:space="preserve">; y </w:t>
      </w:r>
      <w:r w:rsidRPr="003C5132">
        <w:rPr>
          <w:rFonts w:ascii="Arial Narrow" w:hAnsi="Arial Narrow"/>
          <w:b/>
          <w:color w:val="000000" w:themeColor="text1"/>
          <w:sz w:val="28"/>
          <w:szCs w:val="28"/>
        </w:rPr>
        <w:t>A-23, por importe de 24,73 millones de euros.</w:t>
      </w:r>
    </w:p>
    <w:p w:rsidR="003C5132" w:rsidRPr="003C5132" w:rsidRDefault="003C5132" w:rsidP="003C5132">
      <w:pPr>
        <w:pStyle w:val="Prrafodelista"/>
        <w:ind w:left="2061"/>
        <w:jc w:val="both"/>
        <w:rPr>
          <w:rFonts w:ascii="Arial Narrow" w:hAnsi="Arial Narrow"/>
          <w:b/>
          <w:color w:val="000000" w:themeColor="text1"/>
          <w:sz w:val="28"/>
          <w:szCs w:val="28"/>
        </w:rPr>
      </w:pPr>
    </w:p>
    <w:p w:rsidR="003D3121" w:rsidRDefault="003D3121" w:rsidP="00531274">
      <w:pPr>
        <w:pStyle w:val="Prrafodelista"/>
        <w:numPr>
          <w:ilvl w:val="0"/>
          <w:numId w:val="41"/>
        </w:numPr>
        <w:jc w:val="both"/>
        <w:rPr>
          <w:rFonts w:ascii="Arial Narrow" w:hAnsi="Arial Narrow"/>
          <w:color w:val="000000" w:themeColor="text1"/>
          <w:sz w:val="28"/>
          <w:szCs w:val="28"/>
        </w:rPr>
      </w:pPr>
      <w:r>
        <w:rPr>
          <w:rFonts w:ascii="Arial Narrow" w:hAnsi="Arial Narrow"/>
          <w:color w:val="000000" w:themeColor="text1"/>
          <w:sz w:val="28"/>
          <w:szCs w:val="28"/>
        </w:rPr>
        <w:t xml:space="preserve">Actuaciones alrededor de los </w:t>
      </w:r>
      <w:r w:rsidRPr="003C5132">
        <w:rPr>
          <w:rFonts w:ascii="Arial Narrow" w:hAnsi="Arial Narrow"/>
          <w:b/>
          <w:color w:val="000000" w:themeColor="text1"/>
          <w:sz w:val="28"/>
          <w:szCs w:val="28"/>
        </w:rPr>
        <w:t>corredores ferroviarios Cantábrico y Mediterráneo</w:t>
      </w:r>
      <w:r>
        <w:rPr>
          <w:rFonts w:ascii="Arial Narrow" w:hAnsi="Arial Narrow"/>
          <w:color w:val="000000" w:themeColor="text1"/>
          <w:sz w:val="28"/>
          <w:szCs w:val="28"/>
        </w:rPr>
        <w:t xml:space="preserve">, que prevé una inversión de </w:t>
      </w:r>
      <w:r w:rsidRPr="003C5132">
        <w:rPr>
          <w:rFonts w:ascii="Arial Narrow" w:hAnsi="Arial Narrow"/>
          <w:b/>
          <w:color w:val="000000" w:themeColor="text1"/>
          <w:sz w:val="28"/>
          <w:szCs w:val="28"/>
        </w:rPr>
        <w:t>333 millones de euros entre 2017 y 2020</w:t>
      </w:r>
      <w:r>
        <w:rPr>
          <w:rFonts w:ascii="Arial Narrow" w:hAnsi="Arial Narrow"/>
          <w:color w:val="000000" w:themeColor="text1"/>
          <w:sz w:val="28"/>
          <w:szCs w:val="28"/>
        </w:rPr>
        <w:t>.</w:t>
      </w:r>
    </w:p>
    <w:p w:rsidR="003C5132" w:rsidRPr="003C5132" w:rsidRDefault="003C5132" w:rsidP="003C5132">
      <w:pPr>
        <w:pStyle w:val="Prrafodelista"/>
        <w:rPr>
          <w:rFonts w:ascii="Arial Narrow" w:hAnsi="Arial Narrow"/>
          <w:color w:val="000000" w:themeColor="text1"/>
          <w:sz w:val="28"/>
          <w:szCs w:val="28"/>
        </w:rPr>
      </w:pPr>
    </w:p>
    <w:p w:rsidR="003C5132" w:rsidRDefault="003C5132" w:rsidP="00531274">
      <w:pPr>
        <w:pStyle w:val="Prrafodelista"/>
        <w:numPr>
          <w:ilvl w:val="0"/>
          <w:numId w:val="41"/>
        </w:numPr>
        <w:jc w:val="both"/>
        <w:rPr>
          <w:rFonts w:ascii="Arial Narrow" w:hAnsi="Arial Narrow"/>
          <w:color w:val="000000" w:themeColor="text1"/>
          <w:sz w:val="28"/>
          <w:szCs w:val="28"/>
        </w:rPr>
      </w:pPr>
      <w:r w:rsidRPr="003C5132">
        <w:rPr>
          <w:rFonts w:ascii="Arial Narrow" w:hAnsi="Arial Narrow"/>
          <w:b/>
          <w:color w:val="000000" w:themeColor="text1"/>
          <w:sz w:val="28"/>
          <w:szCs w:val="28"/>
        </w:rPr>
        <w:t>Informe en materia de energía renovable, con el fin de reforzar los mecanismos de coordinación entre el Estado y Aragón</w:t>
      </w:r>
      <w:r>
        <w:rPr>
          <w:rFonts w:ascii="Arial Narrow" w:hAnsi="Arial Narrow"/>
          <w:color w:val="000000" w:themeColor="text1"/>
          <w:sz w:val="28"/>
          <w:szCs w:val="28"/>
        </w:rPr>
        <w:t xml:space="preserve"> y facilitar la tramitación y resolución de procedimientos administrativos</w:t>
      </w:r>
      <w:r w:rsidR="00531274">
        <w:rPr>
          <w:rFonts w:ascii="Arial Narrow" w:hAnsi="Arial Narrow"/>
          <w:color w:val="000000" w:themeColor="text1"/>
          <w:sz w:val="28"/>
          <w:szCs w:val="28"/>
        </w:rPr>
        <w:t>,</w:t>
      </w:r>
      <w:r>
        <w:rPr>
          <w:rFonts w:ascii="Arial Narrow" w:hAnsi="Arial Narrow"/>
          <w:color w:val="000000" w:themeColor="text1"/>
          <w:sz w:val="28"/>
          <w:szCs w:val="28"/>
        </w:rPr>
        <w:t xml:space="preserve"> para la puesta en funcionamiento de la producción de energía eléctrica a partir de fuentes renovables en el ámbito de las respectivas competencias.</w:t>
      </w:r>
    </w:p>
    <w:p w:rsidR="003C5132" w:rsidRPr="003C5132" w:rsidRDefault="003C5132" w:rsidP="003C5132">
      <w:pPr>
        <w:pStyle w:val="Prrafodelista"/>
        <w:rPr>
          <w:rFonts w:ascii="Arial Narrow" w:hAnsi="Arial Narrow"/>
          <w:color w:val="000000" w:themeColor="text1"/>
          <w:sz w:val="28"/>
          <w:szCs w:val="28"/>
        </w:rPr>
      </w:pPr>
    </w:p>
    <w:p w:rsidR="003C5132" w:rsidRPr="003D3121" w:rsidRDefault="003C5132" w:rsidP="00531274">
      <w:pPr>
        <w:pStyle w:val="Prrafodelista"/>
        <w:numPr>
          <w:ilvl w:val="0"/>
          <w:numId w:val="41"/>
        </w:numPr>
        <w:jc w:val="both"/>
        <w:rPr>
          <w:rFonts w:ascii="Arial Narrow" w:hAnsi="Arial Narrow"/>
          <w:color w:val="000000" w:themeColor="text1"/>
          <w:sz w:val="28"/>
          <w:szCs w:val="28"/>
        </w:rPr>
      </w:pPr>
      <w:r>
        <w:rPr>
          <w:rFonts w:ascii="Arial Narrow" w:hAnsi="Arial Narrow"/>
          <w:color w:val="000000" w:themeColor="text1"/>
          <w:sz w:val="28"/>
          <w:szCs w:val="28"/>
        </w:rPr>
        <w:t xml:space="preserve">Informe sobre el </w:t>
      </w:r>
      <w:r w:rsidRPr="003C5132">
        <w:rPr>
          <w:rFonts w:ascii="Arial Narrow" w:hAnsi="Arial Narrow"/>
          <w:b/>
          <w:color w:val="000000" w:themeColor="text1"/>
          <w:sz w:val="28"/>
          <w:szCs w:val="28"/>
        </w:rPr>
        <w:t>sellado de distintos vertederos y gestión de las cuencas fluviales</w:t>
      </w:r>
      <w:r>
        <w:rPr>
          <w:rFonts w:ascii="Arial Narrow" w:hAnsi="Arial Narrow"/>
          <w:color w:val="000000" w:themeColor="text1"/>
          <w:sz w:val="28"/>
          <w:szCs w:val="28"/>
        </w:rPr>
        <w:t>.</w:t>
      </w:r>
    </w:p>
    <w:p w:rsidR="000C1070" w:rsidRDefault="000C1070" w:rsidP="000C1070">
      <w:pPr>
        <w:ind w:left="1701"/>
        <w:jc w:val="both"/>
        <w:rPr>
          <w:rFonts w:ascii="Arial Narrow" w:hAnsi="Arial Narrow"/>
          <w:color w:val="000000" w:themeColor="text1"/>
          <w:sz w:val="28"/>
          <w:szCs w:val="28"/>
        </w:rPr>
      </w:pPr>
    </w:p>
    <w:p w:rsidR="0052085D" w:rsidRPr="00DD28BB" w:rsidRDefault="0019438E" w:rsidP="0052085D">
      <w:pPr>
        <w:ind w:left="1701"/>
        <w:jc w:val="both"/>
        <w:rPr>
          <w:rFonts w:ascii="Arial Narrow" w:hAnsi="Arial Narrow"/>
          <w:color w:val="000000" w:themeColor="text1"/>
          <w:sz w:val="28"/>
          <w:szCs w:val="28"/>
        </w:rPr>
      </w:pPr>
      <w:r>
        <w:rPr>
          <w:rFonts w:ascii="Arial Narrow" w:hAnsi="Arial Narrow"/>
          <w:color w:val="000000" w:themeColor="text1"/>
          <w:sz w:val="28"/>
          <w:szCs w:val="28"/>
        </w:rPr>
        <w:t>Por otro lado</w:t>
      </w:r>
      <w:r w:rsidR="0052085D" w:rsidRPr="00DD28BB">
        <w:rPr>
          <w:rFonts w:ascii="Arial Narrow" w:hAnsi="Arial Narrow"/>
          <w:color w:val="000000" w:themeColor="text1"/>
          <w:sz w:val="28"/>
          <w:szCs w:val="28"/>
        </w:rPr>
        <w:t xml:space="preserve">, la </w:t>
      </w:r>
      <w:r w:rsidR="00DD28BB" w:rsidRPr="00DD28BB">
        <w:rPr>
          <w:rFonts w:ascii="Arial Narrow" w:hAnsi="Arial Narrow"/>
          <w:color w:val="000000" w:themeColor="text1"/>
          <w:sz w:val="28"/>
          <w:szCs w:val="28"/>
        </w:rPr>
        <w:t xml:space="preserve">Comisión </w:t>
      </w:r>
      <w:r w:rsidR="0052085D" w:rsidRPr="00DD28BB">
        <w:rPr>
          <w:rFonts w:ascii="Arial Narrow" w:hAnsi="Arial Narrow"/>
          <w:color w:val="000000" w:themeColor="text1"/>
          <w:sz w:val="28"/>
          <w:szCs w:val="28"/>
        </w:rPr>
        <w:t>Bilateral ha interca</w:t>
      </w:r>
      <w:r w:rsidR="00DD28BB" w:rsidRPr="00DD28BB">
        <w:rPr>
          <w:rFonts w:ascii="Arial Narrow" w:hAnsi="Arial Narrow"/>
          <w:color w:val="000000" w:themeColor="text1"/>
          <w:sz w:val="28"/>
          <w:szCs w:val="28"/>
        </w:rPr>
        <w:t>mbiado información y documentación sobre convenios de c</w:t>
      </w:r>
      <w:r w:rsidR="0052085D" w:rsidRPr="00DD28BB">
        <w:rPr>
          <w:rFonts w:ascii="Arial Narrow" w:hAnsi="Arial Narrow"/>
          <w:color w:val="000000" w:themeColor="text1"/>
          <w:sz w:val="28"/>
          <w:szCs w:val="28"/>
        </w:rPr>
        <w:t>olaboración</w:t>
      </w:r>
      <w:r w:rsidR="003C5132">
        <w:rPr>
          <w:rFonts w:ascii="Arial Narrow" w:hAnsi="Arial Narrow"/>
          <w:color w:val="000000" w:themeColor="text1"/>
          <w:sz w:val="28"/>
          <w:szCs w:val="28"/>
        </w:rPr>
        <w:t xml:space="preserve"> y</w:t>
      </w:r>
      <w:r w:rsidR="0052085D" w:rsidRPr="00DD28BB">
        <w:rPr>
          <w:rFonts w:ascii="Arial Narrow" w:hAnsi="Arial Narrow"/>
          <w:color w:val="000000" w:themeColor="text1"/>
          <w:sz w:val="28"/>
          <w:szCs w:val="28"/>
        </w:rPr>
        <w:t xml:space="preserve"> se</w:t>
      </w:r>
      <w:r w:rsidR="00DD28BB" w:rsidRPr="00DD28BB">
        <w:rPr>
          <w:rFonts w:ascii="Arial Narrow" w:hAnsi="Arial Narrow"/>
          <w:color w:val="000000" w:themeColor="text1"/>
          <w:sz w:val="28"/>
          <w:szCs w:val="28"/>
        </w:rPr>
        <w:t xml:space="preserve">guimiento de las conferencias </w:t>
      </w:r>
      <w:r w:rsidR="003C5132">
        <w:rPr>
          <w:rFonts w:ascii="Arial Narrow" w:hAnsi="Arial Narrow"/>
          <w:color w:val="000000" w:themeColor="text1"/>
          <w:sz w:val="28"/>
          <w:szCs w:val="28"/>
        </w:rPr>
        <w:t>sectoriales.</w:t>
      </w:r>
    </w:p>
    <w:p w:rsidR="00DD28BB" w:rsidRPr="00DD28BB" w:rsidRDefault="00DD28BB" w:rsidP="0052085D">
      <w:pPr>
        <w:ind w:left="1701"/>
        <w:jc w:val="both"/>
        <w:rPr>
          <w:rFonts w:ascii="Arial Narrow" w:hAnsi="Arial Narrow"/>
          <w:color w:val="000000" w:themeColor="text1"/>
          <w:sz w:val="28"/>
          <w:szCs w:val="28"/>
        </w:rPr>
      </w:pPr>
    </w:p>
    <w:p w:rsidR="00DD28BB" w:rsidRPr="00DD28BB" w:rsidRDefault="003C5132" w:rsidP="00DD28BB">
      <w:pPr>
        <w:pStyle w:val="Prrafodelista"/>
        <w:ind w:left="1701"/>
        <w:jc w:val="both"/>
        <w:rPr>
          <w:rFonts w:ascii="Arial Narrow" w:hAnsi="Arial Narrow"/>
          <w:color w:val="000000" w:themeColor="text1"/>
          <w:sz w:val="28"/>
          <w:szCs w:val="28"/>
        </w:rPr>
      </w:pPr>
      <w:r>
        <w:rPr>
          <w:rFonts w:ascii="Arial Narrow" w:hAnsi="Arial Narrow"/>
          <w:color w:val="000000" w:themeColor="text1"/>
          <w:sz w:val="28"/>
          <w:szCs w:val="28"/>
        </w:rPr>
        <w:t xml:space="preserve">La sétima reunión de la Comisión Bilateral ha transcurrido en un clima de buen entendimiento y colaboración. Ambas partes han renovado </w:t>
      </w:r>
      <w:r w:rsidR="00DD28BB" w:rsidRPr="00DD28BB">
        <w:rPr>
          <w:rFonts w:ascii="Arial Narrow" w:hAnsi="Arial Narrow"/>
          <w:color w:val="000000" w:themeColor="text1"/>
          <w:sz w:val="28"/>
          <w:szCs w:val="28"/>
        </w:rPr>
        <w:t xml:space="preserve">su compromiso de </w:t>
      </w:r>
      <w:r>
        <w:rPr>
          <w:rFonts w:ascii="Arial Narrow" w:hAnsi="Arial Narrow"/>
          <w:color w:val="000000" w:themeColor="text1"/>
          <w:sz w:val="28"/>
          <w:szCs w:val="28"/>
        </w:rPr>
        <w:t xml:space="preserve">permanente </w:t>
      </w:r>
      <w:r w:rsidR="00DD28BB" w:rsidRPr="00DD28BB">
        <w:rPr>
          <w:rFonts w:ascii="Arial Narrow" w:hAnsi="Arial Narrow"/>
          <w:color w:val="000000" w:themeColor="text1"/>
          <w:sz w:val="28"/>
          <w:szCs w:val="28"/>
        </w:rPr>
        <w:t>cooperación y diálogo entre el Estado y Aragón.</w:t>
      </w:r>
    </w:p>
    <w:sectPr w:rsidR="00DD28BB" w:rsidRPr="00DD28BB" w:rsidSect="0052085D">
      <w:headerReference w:type="default" r:id="rId8"/>
      <w:footerReference w:type="even" r:id="rId9"/>
      <w:footerReference w:type="default" r:id="rId10"/>
      <w:headerReference w:type="first" r:id="rId11"/>
      <w:footerReference w:type="first" r:id="rId12"/>
      <w:type w:val="continuous"/>
      <w:pgSz w:w="11906" w:h="16838" w:code="9"/>
      <w:pgMar w:top="238" w:right="849" w:bottom="1701" w:left="346" w:header="284" w:footer="352"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4F3" w:rsidRDefault="004F14F3">
      <w:r>
        <w:separator/>
      </w:r>
    </w:p>
  </w:endnote>
  <w:endnote w:type="continuationSeparator" w:id="0">
    <w:p w:rsidR="004F14F3" w:rsidRDefault="004F14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9" w:rsidRDefault="00975DBD">
    <w:pPr>
      <w:pStyle w:val="Piedepgina"/>
      <w:framePr w:wrap="around" w:vAnchor="text" w:hAnchor="margin" w:xAlign="center" w:y="1"/>
      <w:rPr>
        <w:rStyle w:val="Nmerodepgina"/>
      </w:rPr>
    </w:pPr>
    <w:r>
      <w:rPr>
        <w:rStyle w:val="Nmerodepgina"/>
      </w:rPr>
      <w:fldChar w:fldCharType="begin"/>
    </w:r>
    <w:r w:rsidR="006F0529">
      <w:rPr>
        <w:rStyle w:val="Nmerodepgina"/>
      </w:rPr>
      <w:instrText xml:space="preserve">PAGE  </w:instrText>
    </w:r>
    <w:r>
      <w:rPr>
        <w:rStyle w:val="Nmerodepgina"/>
      </w:rPr>
      <w:fldChar w:fldCharType="end"/>
    </w:r>
  </w:p>
  <w:p w:rsidR="006F0529" w:rsidRDefault="006F05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6F0529" w:rsidTr="009A382B">
      <w:trPr>
        <w:cantSplit/>
        <w:trHeight w:val="120"/>
      </w:trPr>
      <w:tc>
        <w:tcPr>
          <w:tcW w:w="2551" w:type="dxa"/>
          <w:tcBorders>
            <w:top w:val="nil"/>
            <w:left w:val="nil"/>
            <w:bottom w:val="nil"/>
            <w:right w:val="nil"/>
          </w:tcBorders>
          <w:vAlign w:val="center"/>
        </w:tcPr>
        <w:p w:rsidR="006F0529" w:rsidRPr="009A382B" w:rsidRDefault="006F0529">
          <w:pPr>
            <w:pStyle w:val="Encabezado"/>
            <w:tabs>
              <w:tab w:val="clear" w:pos="4252"/>
              <w:tab w:val="clear" w:pos="8504"/>
            </w:tabs>
            <w:rPr>
              <w:rFonts w:ascii="Gill Sans MT" w:hAnsi="Gill Sans MT"/>
              <w:sz w:val="10"/>
              <w:bdr w:val="single" w:sz="4" w:space="0" w:color="auto"/>
            </w:rPr>
          </w:pPr>
        </w:p>
        <w:p w:rsidR="006F0529" w:rsidRDefault="006F0529">
          <w:pPr>
            <w:spacing w:line="180" w:lineRule="atLeast"/>
            <w:rPr>
              <w:rFonts w:ascii="Arial Narrow" w:hAnsi="Arial Narrow"/>
              <w:sz w:val="10"/>
            </w:rPr>
          </w:pPr>
        </w:p>
      </w:tc>
      <w:tc>
        <w:tcPr>
          <w:tcW w:w="9378" w:type="dxa"/>
          <w:tcBorders>
            <w:top w:val="nil"/>
            <w:left w:val="nil"/>
            <w:bottom w:val="nil"/>
            <w:right w:val="nil"/>
          </w:tcBorders>
        </w:tcPr>
        <w:p w:rsidR="006F0529" w:rsidRDefault="009A382B" w:rsidP="009A382B">
          <w:pPr>
            <w:rPr>
              <w:sz w:val="18"/>
            </w:rPr>
          </w:pPr>
          <w:r>
            <w:rPr>
              <w:rFonts w:ascii="Arial Narrow" w:hAnsi="Arial Narrow"/>
              <w:sz w:val="18"/>
            </w:rPr>
            <w:t xml:space="preserve">  </w:t>
          </w:r>
          <w:r w:rsidR="006F0529">
            <w:rPr>
              <w:rFonts w:ascii="Arial Narrow" w:hAnsi="Arial Narrow"/>
              <w:sz w:val="18"/>
            </w:rPr>
            <w:t>Esta información puede ser usada en parte o en su integridad sin necesidad de citar fuentes</w:t>
          </w:r>
        </w:p>
      </w:tc>
      <w:tc>
        <w:tcPr>
          <w:tcW w:w="160" w:type="dxa"/>
          <w:vMerge w:val="restart"/>
          <w:tcBorders>
            <w:top w:val="nil"/>
            <w:left w:val="single" w:sz="4" w:space="0" w:color="auto"/>
            <w:bottom w:val="nil"/>
            <w:right w:val="nil"/>
          </w:tcBorders>
        </w:tcPr>
        <w:p w:rsidR="006F0529" w:rsidRDefault="006F0529">
          <w:pPr>
            <w:spacing w:after="120"/>
            <w:ind w:left="74"/>
          </w:pPr>
        </w:p>
      </w:tc>
    </w:tr>
    <w:tr w:rsidR="006F0529"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975DBD">
            <w:rPr>
              <w:sz w:val="20"/>
            </w:rPr>
            <w:fldChar w:fldCharType="begin"/>
          </w:r>
          <w:r>
            <w:rPr>
              <w:sz w:val="20"/>
            </w:rPr>
            <w:instrText xml:space="preserve"> PAGE </w:instrText>
          </w:r>
          <w:r w:rsidR="00975DBD">
            <w:rPr>
              <w:sz w:val="20"/>
            </w:rPr>
            <w:fldChar w:fldCharType="separate"/>
          </w:r>
          <w:r w:rsidR="005B329D">
            <w:rPr>
              <w:noProof/>
              <w:sz w:val="20"/>
            </w:rPr>
            <w:t>2</w:t>
          </w:r>
          <w:r w:rsidR="00975DBD">
            <w:rPr>
              <w:sz w:val="20"/>
            </w:rPr>
            <w:fldChar w:fldCharType="end"/>
          </w:r>
          <w:r>
            <w:rPr>
              <w:sz w:val="20"/>
            </w:rPr>
            <w:t xml:space="preserve"> de </w:t>
          </w:r>
          <w:r w:rsidR="00975DBD">
            <w:rPr>
              <w:sz w:val="20"/>
            </w:rPr>
            <w:fldChar w:fldCharType="begin"/>
          </w:r>
          <w:r>
            <w:rPr>
              <w:sz w:val="20"/>
            </w:rPr>
            <w:instrText xml:space="preserve"> NUMPAGES </w:instrText>
          </w:r>
          <w:r w:rsidR="00975DBD">
            <w:rPr>
              <w:sz w:val="20"/>
            </w:rPr>
            <w:fldChar w:fldCharType="separate"/>
          </w:r>
          <w:r w:rsidR="005B329D">
            <w:rPr>
              <w:noProof/>
              <w:sz w:val="20"/>
            </w:rPr>
            <w:t>3</w:t>
          </w:r>
          <w:r w:rsidR="00975DBD">
            <w:rPr>
              <w:sz w:val="20"/>
            </w:rPr>
            <w:fldChar w:fldCharType="end"/>
          </w:r>
        </w:p>
      </w:tc>
      <w:tc>
        <w:tcPr>
          <w:tcW w:w="9378" w:type="dxa"/>
          <w:tcBorders>
            <w:top w:val="nil"/>
            <w:left w:val="nil"/>
            <w:bottom w:val="nil"/>
            <w:right w:val="nil"/>
          </w:tcBorders>
        </w:tcPr>
        <w:p w:rsidR="006F0529" w:rsidRDefault="006F0529"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r w:rsidR="00B81427">
            <w:rPr>
              <w:rStyle w:val="Hipervnculo"/>
              <w:rFonts w:ascii="Arial Narrow" w:hAnsi="Arial Narrow"/>
              <w:b/>
              <w:szCs w:val="24"/>
              <w:u w:val="none"/>
            </w:rPr>
            <w:t xml:space="preserve">    </w:t>
          </w:r>
          <w:hyperlink w:history="1">
            <w:r w:rsidR="009A382B"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6F0529" w:rsidRDefault="006F0529"/>
      </w:tc>
    </w:tr>
  </w:tbl>
  <w:p w:rsidR="006F0529" w:rsidRDefault="006F0529">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6F0529" w:rsidTr="009A382B">
      <w:trPr>
        <w:cantSplit/>
        <w:trHeight w:val="120"/>
      </w:trPr>
      <w:tc>
        <w:tcPr>
          <w:tcW w:w="2551" w:type="dxa"/>
          <w:tcBorders>
            <w:top w:val="nil"/>
            <w:left w:val="nil"/>
            <w:bottom w:val="nil"/>
            <w:right w:val="nil"/>
          </w:tcBorders>
          <w:vAlign w:val="center"/>
        </w:tcPr>
        <w:p w:rsidR="006F0529" w:rsidRDefault="006F0529"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6F0529" w:rsidRDefault="006F0529" w:rsidP="009A382B">
          <w:pPr>
            <w:jc w:val="center"/>
            <w:rPr>
              <w:rFonts w:ascii="Arial Narrow" w:hAnsi="Arial Narrow"/>
              <w:sz w:val="18"/>
            </w:rPr>
          </w:pPr>
        </w:p>
        <w:p w:rsidR="006F0529" w:rsidRDefault="006F0529"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6F0529" w:rsidRDefault="006F0529">
          <w:pPr>
            <w:spacing w:after="120"/>
            <w:ind w:left="74"/>
          </w:pPr>
        </w:p>
      </w:tc>
    </w:tr>
    <w:tr w:rsidR="006F0529" w:rsidRPr="00563534"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975DBD">
            <w:rPr>
              <w:sz w:val="20"/>
            </w:rPr>
            <w:fldChar w:fldCharType="begin"/>
          </w:r>
          <w:r>
            <w:rPr>
              <w:sz w:val="20"/>
            </w:rPr>
            <w:instrText xml:space="preserve"> PAGE </w:instrText>
          </w:r>
          <w:r w:rsidR="00975DBD">
            <w:rPr>
              <w:sz w:val="20"/>
            </w:rPr>
            <w:fldChar w:fldCharType="separate"/>
          </w:r>
          <w:r w:rsidR="005B329D">
            <w:rPr>
              <w:noProof/>
              <w:sz w:val="20"/>
            </w:rPr>
            <w:t>1</w:t>
          </w:r>
          <w:r w:rsidR="00975DBD">
            <w:rPr>
              <w:sz w:val="20"/>
            </w:rPr>
            <w:fldChar w:fldCharType="end"/>
          </w:r>
          <w:r>
            <w:rPr>
              <w:sz w:val="20"/>
            </w:rPr>
            <w:t xml:space="preserve"> de </w:t>
          </w:r>
          <w:r w:rsidR="00975DBD">
            <w:rPr>
              <w:sz w:val="20"/>
            </w:rPr>
            <w:fldChar w:fldCharType="begin"/>
          </w:r>
          <w:r>
            <w:rPr>
              <w:sz w:val="20"/>
            </w:rPr>
            <w:instrText xml:space="preserve"> NUMPAGES </w:instrText>
          </w:r>
          <w:r w:rsidR="00975DBD">
            <w:rPr>
              <w:sz w:val="20"/>
            </w:rPr>
            <w:fldChar w:fldCharType="separate"/>
          </w:r>
          <w:r w:rsidR="005B329D">
            <w:rPr>
              <w:noProof/>
              <w:sz w:val="20"/>
            </w:rPr>
            <w:t>3</w:t>
          </w:r>
          <w:r w:rsidR="00975DBD">
            <w:rPr>
              <w:sz w:val="20"/>
            </w:rPr>
            <w:fldChar w:fldCharType="end"/>
          </w:r>
        </w:p>
      </w:tc>
      <w:tc>
        <w:tcPr>
          <w:tcW w:w="8953" w:type="dxa"/>
          <w:tcBorders>
            <w:top w:val="nil"/>
            <w:left w:val="nil"/>
            <w:bottom w:val="nil"/>
            <w:right w:val="nil"/>
          </w:tcBorders>
        </w:tcPr>
        <w:p w:rsidR="006F0529" w:rsidRPr="00563534" w:rsidRDefault="009A382B"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6F0529" w:rsidRPr="00563534" w:rsidRDefault="006F0529"/>
      </w:tc>
    </w:tr>
  </w:tbl>
  <w:p w:rsidR="006F0529" w:rsidRPr="00563534" w:rsidRDefault="006F0529"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4F3" w:rsidRDefault="004F14F3">
      <w:r>
        <w:separator/>
      </w:r>
    </w:p>
  </w:footnote>
  <w:footnote w:type="continuationSeparator" w:id="0">
    <w:p w:rsidR="004F14F3" w:rsidRDefault="004F1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6F0529">
      <w:trPr>
        <w:gridAfter w:val="1"/>
        <w:wAfter w:w="3473" w:type="dxa"/>
        <w:cantSplit/>
        <w:trHeight w:val="543"/>
      </w:trPr>
      <w:tc>
        <w:tcPr>
          <w:tcW w:w="1346" w:type="dxa"/>
          <w:vMerge w:val="restart"/>
        </w:tcPr>
        <w:p w:rsidR="006F0529" w:rsidRDefault="006F0529">
          <w:pPr>
            <w:pStyle w:val="Encabezado"/>
            <w:tabs>
              <w:tab w:val="clear" w:pos="4252"/>
              <w:tab w:val="clear" w:pos="8504"/>
            </w:tabs>
          </w:pPr>
        </w:p>
      </w:tc>
      <w:tc>
        <w:tcPr>
          <w:tcW w:w="7584" w:type="dxa"/>
          <w:vMerge w:val="restart"/>
        </w:tcPr>
        <w:p w:rsidR="006F0529" w:rsidRDefault="006F0529" w:rsidP="006C0F7F">
          <w:pPr>
            <w:pStyle w:val="Encabezado"/>
            <w:tabs>
              <w:tab w:val="clear" w:pos="4252"/>
              <w:tab w:val="left" w:pos="2127"/>
              <w:tab w:val="left" w:pos="6521"/>
            </w:tabs>
          </w:pPr>
        </w:p>
      </w:tc>
    </w:tr>
    <w:tr w:rsidR="006F0529">
      <w:trPr>
        <w:cantSplit/>
        <w:trHeight w:val="40"/>
      </w:trPr>
      <w:tc>
        <w:tcPr>
          <w:tcW w:w="1346" w:type="dxa"/>
          <w:vMerge/>
        </w:tcPr>
        <w:p w:rsidR="006F0529" w:rsidRDefault="006F0529">
          <w:pPr>
            <w:pStyle w:val="Encabezado"/>
            <w:tabs>
              <w:tab w:val="clear" w:pos="4252"/>
              <w:tab w:val="left" w:pos="2127"/>
              <w:tab w:val="left" w:pos="6521"/>
            </w:tabs>
          </w:pPr>
        </w:p>
      </w:tc>
      <w:tc>
        <w:tcPr>
          <w:tcW w:w="7584"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F0529" w:rsidRDefault="006F0529"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9" w:rsidRDefault="006F0529">
    <w:pPr>
      <w:rPr>
        <w:rFonts w:ascii="Gill Sans MT" w:hAnsi="Gill Sans MT"/>
        <w:sz w:val="16"/>
      </w:rPr>
    </w:pPr>
  </w:p>
  <w:p w:rsidR="006F0529" w:rsidRDefault="006F0529">
    <w:pPr>
      <w:rPr>
        <w:rFonts w:ascii="Gill Sans MT" w:hAnsi="Gill Sans MT"/>
        <w:sz w:val="16"/>
      </w:rPr>
    </w:pPr>
  </w:p>
  <w:p w:rsidR="006F0529" w:rsidRDefault="006F0529">
    <w:pPr>
      <w:rPr>
        <w:rFonts w:ascii="Gill Sans MT" w:hAnsi="Gill Sans MT"/>
        <w:sz w:val="16"/>
      </w:rPr>
    </w:pPr>
  </w:p>
  <w:tbl>
    <w:tblPr>
      <w:tblW w:w="12403" w:type="dxa"/>
      <w:tblInd w:w="354" w:type="dxa"/>
      <w:tblLayout w:type="fixed"/>
      <w:tblCellMar>
        <w:left w:w="70" w:type="dxa"/>
        <w:right w:w="70" w:type="dxa"/>
      </w:tblCellMar>
      <w:tblLook w:val="0000"/>
    </w:tblPr>
    <w:tblGrid>
      <w:gridCol w:w="1346"/>
      <w:gridCol w:w="7584"/>
      <w:gridCol w:w="3473"/>
    </w:tblGrid>
    <w:tr w:rsidR="006F0529" w:rsidTr="00A0758E">
      <w:trPr>
        <w:cantSplit/>
        <w:trHeight w:val="543"/>
      </w:trPr>
      <w:tc>
        <w:tcPr>
          <w:tcW w:w="1346" w:type="dxa"/>
          <w:vMerge w:val="restart"/>
        </w:tcPr>
        <w:bookmarkStart w:id="1" w:name="_MON_1030352108"/>
        <w:bookmarkEnd w:id="1"/>
        <w:p w:rsidR="006F0529" w:rsidRDefault="006F0529">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45pt" o:ole="" fillcolor="window">
                <v:imagedata r:id="rId1" o:title=""/>
              </v:shape>
              <o:OLEObject Type="Embed" ProgID="Word.Picture.8" ShapeID="_x0000_i1025" DrawAspect="Content" ObjectID="_1560171201" r:id="rId2"/>
            </w:object>
          </w:r>
        </w:p>
      </w:tc>
      <w:tc>
        <w:tcPr>
          <w:tcW w:w="7584" w:type="dxa"/>
          <w:vMerge w:val="restart"/>
        </w:tcPr>
        <w:p w:rsidR="006F0529" w:rsidRDefault="006F0529">
          <w:pPr>
            <w:spacing w:before="360"/>
            <w:rPr>
              <w:rFonts w:ascii="Garamond" w:hAnsi="Garamond"/>
              <w:sz w:val="22"/>
            </w:rPr>
          </w:pPr>
          <w:r>
            <w:rPr>
              <w:rFonts w:ascii="Gill Sans MT" w:hAnsi="Gill Sans MT"/>
              <w:sz w:val="22"/>
            </w:rPr>
            <w:t xml:space="preserve">MINISTERIO </w:t>
          </w:r>
        </w:p>
        <w:p w:rsidR="006F0529" w:rsidRDefault="006F0529" w:rsidP="008A68DE">
          <w:pPr>
            <w:pStyle w:val="Encabezado"/>
            <w:tabs>
              <w:tab w:val="clear" w:pos="4252"/>
              <w:tab w:val="left" w:pos="2127"/>
              <w:tab w:val="left" w:pos="6521"/>
            </w:tabs>
            <w:rPr>
              <w:rFonts w:ascii="Gill Sans MT" w:hAnsi="Gill Sans MT"/>
              <w:sz w:val="22"/>
            </w:rPr>
          </w:pPr>
          <w:r>
            <w:rPr>
              <w:rFonts w:ascii="Gill Sans MT" w:hAnsi="Gill Sans MT"/>
              <w:sz w:val="22"/>
            </w:rPr>
            <w:t xml:space="preserve">DE </w:t>
          </w:r>
          <w:r w:rsidR="009A382B">
            <w:rPr>
              <w:rFonts w:ascii="Gill Sans MT" w:hAnsi="Gill Sans MT"/>
              <w:sz w:val="22"/>
            </w:rPr>
            <w:t>LA PRESIDENCIA</w:t>
          </w:r>
        </w:p>
        <w:p w:rsidR="006F0529" w:rsidRDefault="006F0529" w:rsidP="009A382B">
          <w:pPr>
            <w:pStyle w:val="Encabezado"/>
            <w:tabs>
              <w:tab w:val="clear" w:pos="4252"/>
              <w:tab w:val="left" w:pos="2127"/>
              <w:tab w:val="left" w:pos="6521"/>
            </w:tabs>
          </w:pPr>
          <w:r>
            <w:rPr>
              <w:rFonts w:ascii="Gill Sans MT" w:hAnsi="Gill Sans MT"/>
              <w:sz w:val="22"/>
            </w:rPr>
            <w:t xml:space="preserve">Y </w:t>
          </w:r>
          <w:r w:rsidR="009A382B">
            <w:rPr>
              <w:rFonts w:ascii="Gill Sans MT" w:hAnsi="Gill Sans MT"/>
              <w:sz w:val="22"/>
            </w:rPr>
            <w:t xml:space="preserve">PARA LAS </w:t>
          </w:r>
          <w:r>
            <w:rPr>
              <w:rFonts w:ascii="Gill Sans MT" w:hAnsi="Gill Sans MT"/>
              <w:sz w:val="22"/>
            </w:rPr>
            <w:t xml:space="preserve">ADMINISTRACIONES </w:t>
          </w:r>
          <w:r w:rsidR="009A382B">
            <w:rPr>
              <w:rFonts w:ascii="Gill Sans MT" w:hAnsi="Gill Sans MT"/>
              <w:sz w:val="22"/>
            </w:rPr>
            <w:t>TERRITORIALES</w:t>
          </w:r>
        </w:p>
      </w:tc>
      <w:tc>
        <w:tcPr>
          <w:tcW w:w="3473" w:type="dxa"/>
          <w:vAlign w:val="center"/>
        </w:tcPr>
        <w:p w:rsidR="006F0529" w:rsidRDefault="006F0529" w:rsidP="00A0758E">
          <w:pPr>
            <w:pStyle w:val="Encabezado"/>
            <w:tabs>
              <w:tab w:val="clear" w:pos="4252"/>
              <w:tab w:val="left" w:pos="6521"/>
            </w:tabs>
            <w:spacing w:after="240"/>
            <w:ind w:right="1418"/>
            <w:rPr>
              <w:rFonts w:ascii="Gill Sans MT" w:hAnsi="Gill Sans MT"/>
              <w:kern w:val="16"/>
              <w:sz w:val="14"/>
            </w:rPr>
          </w:pPr>
        </w:p>
        <w:p w:rsidR="006F0529" w:rsidRDefault="006F0529"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6F0529">
      <w:trPr>
        <w:cantSplit/>
        <w:trHeight w:val="40"/>
      </w:trPr>
      <w:tc>
        <w:tcPr>
          <w:tcW w:w="1346" w:type="dxa"/>
          <w:vMerge/>
        </w:tcPr>
        <w:p w:rsidR="006F0529" w:rsidRDefault="006F0529">
          <w:pPr>
            <w:pStyle w:val="Encabezado"/>
            <w:tabs>
              <w:tab w:val="clear" w:pos="4252"/>
              <w:tab w:val="left" w:pos="2127"/>
              <w:tab w:val="left" w:pos="6521"/>
            </w:tabs>
          </w:pPr>
        </w:p>
      </w:tc>
      <w:tc>
        <w:tcPr>
          <w:tcW w:w="7584"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F0529" w:rsidRDefault="006F0529">
    <w:pPr>
      <w:pStyle w:val="Encabezado"/>
      <w:tabs>
        <w:tab w:val="clear" w:pos="4252"/>
        <w:tab w:val="left" w:pos="2127"/>
        <w:tab w:val="left" w:pos="6521"/>
      </w:tabs>
      <w:ind w:firstLine="227"/>
      <w:rPr>
        <w:rFonts w:ascii="Gill Sans MT" w:hAnsi="Gill Sans MT"/>
        <w:sz w:val="16"/>
      </w:rPr>
    </w:pPr>
  </w:p>
  <w:p w:rsidR="006F0529" w:rsidRDefault="006F0529">
    <w:pPr>
      <w:pStyle w:val="Encabezado"/>
      <w:tabs>
        <w:tab w:val="clear" w:pos="4252"/>
        <w:tab w:val="left" w:pos="2127"/>
        <w:tab w:val="left" w:pos="6521"/>
      </w:tabs>
      <w:ind w:firstLine="227"/>
      <w:rPr>
        <w:rFonts w:ascii="Gill Sans MT" w:hAnsi="Gill Sans MT"/>
        <w:sz w:val="16"/>
      </w:rPr>
    </w:pPr>
  </w:p>
  <w:p w:rsidR="00531274" w:rsidRDefault="00531274">
    <w:pPr>
      <w:pStyle w:val="Encabezado"/>
      <w:tabs>
        <w:tab w:val="clear" w:pos="4252"/>
        <w:tab w:val="left" w:pos="2127"/>
        <w:tab w:val="left" w:pos="6521"/>
      </w:tabs>
      <w:ind w:firstLine="227"/>
      <w:rPr>
        <w:rFonts w:ascii="Gill Sans MT" w:hAnsi="Gill Sans MT"/>
        <w:sz w:val="16"/>
      </w:rPr>
    </w:pPr>
  </w:p>
  <w:p w:rsidR="009A382B" w:rsidRDefault="009A382B">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175131C"/>
    <w:multiLevelType w:val="hybridMultilevel"/>
    <w:tmpl w:val="2DAED91A"/>
    <w:lvl w:ilvl="0" w:tplc="377E2BD6">
      <w:start w:val="27"/>
      <w:numFmt w:val="bullet"/>
      <w:lvlText w:val="-"/>
      <w:lvlJc w:val="left"/>
      <w:pPr>
        <w:ind w:left="2061" w:hanging="360"/>
      </w:pPr>
      <w:rPr>
        <w:rFonts w:ascii="Arial Narrow" w:eastAsia="Times New Roman" w:hAnsi="Arial Narrow" w:cs="Aria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2">
    <w:nsid w:val="027D2C17"/>
    <w:multiLevelType w:val="hybridMultilevel"/>
    <w:tmpl w:val="2F4AAD42"/>
    <w:lvl w:ilvl="0" w:tplc="0C0A000D">
      <w:start w:val="1"/>
      <w:numFmt w:val="bullet"/>
      <w:lvlText w:val=""/>
      <w:lvlJc w:val="left"/>
      <w:pPr>
        <w:ind w:left="2061" w:hanging="360"/>
      </w:pPr>
      <w:rPr>
        <w:rFonts w:ascii="Wingdings" w:hAnsi="Wingdings"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3">
    <w:nsid w:val="03226873"/>
    <w:multiLevelType w:val="hybridMultilevel"/>
    <w:tmpl w:val="7F72A086"/>
    <w:lvl w:ilvl="0" w:tplc="0C0A000B">
      <w:start w:val="1"/>
      <w:numFmt w:val="bullet"/>
      <w:lvlText w:val=""/>
      <w:lvlJc w:val="left"/>
      <w:pPr>
        <w:ind w:left="2421" w:hanging="360"/>
      </w:pPr>
      <w:rPr>
        <w:rFonts w:ascii="Wingdings" w:hAnsi="Wingding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5">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7">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9">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3">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5">
    <w:nsid w:val="30E909E4"/>
    <w:multiLevelType w:val="hybridMultilevel"/>
    <w:tmpl w:val="2CCAB6B0"/>
    <w:lvl w:ilvl="0" w:tplc="0C0A0005">
      <w:start w:val="1"/>
      <w:numFmt w:val="bullet"/>
      <w:lvlText w:val=""/>
      <w:lvlJc w:val="left"/>
      <w:pPr>
        <w:ind w:left="2421" w:hanging="360"/>
      </w:pPr>
      <w:rPr>
        <w:rFonts w:ascii="Wingdings" w:hAnsi="Wingdings"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6">
    <w:nsid w:val="352B604B"/>
    <w:multiLevelType w:val="hybridMultilevel"/>
    <w:tmpl w:val="B5A2B0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8">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9">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28523CC"/>
    <w:multiLevelType w:val="hybridMultilevel"/>
    <w:tmpl w:val="049041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6">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59DA4314"/>
    <w:multiLevelType w:val="hybridMultilevel"/>
    <w:tmpl w:val="221C0BF8"/>
    <w:lvl w:ilvl="0" w:tplc="0C0A0005">
      <w:start w:val="1"/>
      <w:numFmt w:val="bullet"/>
      <w:lvlText w:val=""/>
      <w:lvlJc w:val="left"/>
      <w:pPr>
        <w:ind w:left="2487" w:hanging="360"/>
      </w:pPr>
      <w:rPr>
        <w:rFonts w:ascii="Wingdings" w:hAnsi="Wingdings"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8">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4">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32D55E1"/>
    <w:multiLevelType w:val="hybridMultilevel"/>
    <w:tmpl w:val="2B6655AE"/>
    <w:lvl w:ilvl="0" w:tplc="278C863C">
      <w:start w:val="26"/>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6">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7E02C28"/>
    <w:multiLevelType w:val="hybridMultilevel"/>
    <w:tmpl w:val="76F61F84"/>
    <w:lvl w:ilvl="0" w:tplc="8D683D14">
      <w:start w:val="4"/>
      <w:numFmt w:val="bullet"/>
      <w:lvlText w:val="-"/>
      <w:lvlJc w:val="left"/>
      <w:pPr>
        <w:ind w:left="2061" w:hanging="360"/>
      </w:pPr>
      <w:rPr>
        <w:rFonts w:ascii="Arial Narrow" w:eastAsia="Times New Roman" w:hAnsi="Arial Narrow" w:cs="Aria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38">
    <w:nsid w:val="7C7312D2"/>
    <w:multiLevelType w:val="hybridMultilevel"/>
    <w:tmpl w:val="4706049C"/>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9">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40"/>
  </w:num>
  <w:num w:numId="3">
    <w:abstractNumId w:val="17"/>
  </w:num>
  <w:num w:numId="4">
    <w:abstractNumId w:val="36"/>
  </w:num>
  <w:num w:numId="5">
    <w:abstractNumId w:val="0"/>
  </w:num>
  <w:num w:numId="6">
    <w:abstractNumId w:val="4"/>
  </w:num>
  <w:num w:numId="7">
    <w:abstractNumId w:val="31"/>
  </w:num>
  <w:num w:numId="8">
    <w:abstractNumId w:val="9"/>
  </w:num>
  <w:num w:numId="9">
    <w:abstractNumId w:val="11"/>
  </w:num>
  <w:num w:numId="10">
    <w:abstractNumId w:val="13"/>
  </w:num>
  <w:num w:numId="11">
    <w:abstractNumId w:val="20"/>
  </w:num>
  <w:num w:numId="12">
    <w:abstractNumId w:val="4"/>
  </w:num>
  <w:num w:numId="13">
    <w:abstractNumId w:val="10"/>
  </w:num>
  <w:num w:numId="14">
    <w:abstractNumId w:val="7"/>
  </w:num>
  <w:num w:numId="15">
    <w:abstractNumId w:val="18"/>
  </w:num>
  <w:num w:numId="16">
    <w:abstractNumId w:val="26"/>
  </w:num>
  <w:num w:numId="17">
    <w:abstractNumId w:val="8"/>
  </w:num>
  <w:num w:numId="18">
    <w:abstractNumId w:val="33"/>
  </w:num>
  <w:num w:numId="19">
    <w:abstractNumId w:val="14"/>
  </w:num>
  <w:num w:numId="20">
    <w:abstractNumId w:val="25"/>
  </w:num>
  <w:num w:numId="21">
    <w:abstractNumId w:val="34"/>
  </w:num>
  <w:num w:numId="22">
    <w:abstractNumId w:val="28"/>
  </w:num>
  <w:num w:numId="23">
    <w:abstractNumId w:val="24"/>
  </w:num>
  <w:num w:numId="24">
    <w:abstractNumId w:val="23"/>
  </w:num>
  <w:num w:numId="25">
    <w:abstractNumId w:val="29"/>
  </w:num>
  <w:num w:numId="26">
    <w:abstractNumId w:val="19"/>
  </w:num>
  <w:num w:numId="27">
    <w:abstractNumId w:val="30"/>
  </w:num>
  <w:num w:numId="28">
    <w:abstractNumId w:val="21"/>
  </w:num>
  <w:num w:numId="29">
    <w:abstractNumId w:val="6"/>
  </w:num>
  <w:num w:numId="30">
    <w:abstractNumId w:val="32"/>
  </w:num>
  <w:num w:numId="31">
    <w:abstractNumId w:val="5"/>
  </w:num>
  <w:num w:numId="32">
    <w:abstractNumId w:val="39"/>
  </w:num>
  <w:num w:numId="33">
    <w:abstractNumId w:val="16"/>
  </w:num>
  <w:num w:numId="34">
    <w:abstractNumId w:val="22"/>
  </w:num>
  <w:num w:numId="35">
    <w:abstractNumId w:val="35"/>
  </w:num>
  <w:num w:numId="36">
    <w:abstractNumId w:val="27"/>
  </w:num>
  <w:num w:numId="37">
    <w:abstractNumId w:val="1"/>
  </w:num>
  <w:num w:numId="38">
    <w:abstractNumId w:val="38"/>
  </w:num>
  <w:num w:numId="39">
    <w:abstractNumId w:val="37"/>
  </w:num>
  <w:num w:numId="40">
    <w:abstractNumId w:val="15"/>
  </w:num>
  <w:num w:numId="41">
    <w:abstractNumId w:val="2"/>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8194" fillcolor="white">
      <v:fill color="white"/>
      <o:colormru v:ext="edit" colors="#ddd"/>
    </o:shapedefaults>
  </w:hdrShapeDefaults>
  <w:footnotePr>
    <w:footnote w:id="-1"/>
    <w:footnote w:id="0"/>
  </w:footnotePr>
  <w:endnotePr>
    <w:endnote w:id="-1"/>
    <w:endnote w:id="0"/>
  </w:endnotePr>
  <w:compat/>
  <w:rsids>
    <w:rsidRoot w:val="00C17A1E"/>
    <w:rsid w:val="00007BF4"/>
    <w:rsid w:val="0001214A"/>
    <w:rsid w:val="000236E7"/>
    <w:rsid w:val="000253A7"/>
    <w:rsid w:val="00025FD2"/>
    <w:rsid w:val="00027FA1"/>
    <w:rsid w:val="000327FE"/>
    <w:rsid w:val="00035376"/>
    <w:rsid w:val="0003615A"/>
    <w:rsid w:val="00042942"/>
    <w:rsid w:val="0005265F"/>
    <w:rsid w:val="00056DA0"/>
    <w:rsid w:val="00071994"/>
    <w:rsid w:val="000A7BEA"/>
    <w:rsid w:val="000C1070"/>
    <w:rsid w:val="000C1117"/>
    <w:rsid w:val="000C7FA0"/>
    <w:rsid w:val="000D1A2A"/>
    <w:rsid w:val="000E1C2A"/>
    <w:rsid w:val="000E2AD6"/>
    <w:rsid w:val="000E5254"/>
    <w:rsid w:val="000E65B4"/>
    <w:rsid w:val="000F15DD"/>
    <w:rsid w:val="00103EB4"/>
    <w:rsid w:val="00110187"/>
    <w:rsid w:val="00113C62"/>
    <w:rsid w:val="00134A12"/>
    <w:rsid w:val="00153EFF"/>
    <w:rsid w:val="001630B7"/>
    <w:rsid w:val="001778F0"/>
    <w:rsid w:val="0019438E"/>
    <w:rsid w:val="0019632B"/>
    <w:rsid w:val="001964EB"/>
    <w:rsid w:val="001A1444"/>
    <w:rsid w:val="001A33CB"/>
    <w:rsid w:val="001A4BA9"/>
    <w:rsid w:val="001B199C"/>
    <w:rsid w:val="001B64DE"/>
    <w:rsid w:val="001C41A3"/>
    <w:rsid w:val="001C532F"/>
    <w:rsid w:val="001C6091"/>
    <w:rsid w:val="001D12ED"/>
    <w:rsid w:val="001D1B41"/>
    <w:rsid w:val="001E1548"/>
    <w:rsid w:val="001E46C0"/>
    <w:rsid w:val="002024A4"/>
    <w:rsid w:val="00207791"/>
    <w:rsid w:val="0021516E"/>
    <w:rsid w:val="00223E48"/>
    <w:rsid w:val="0023679A"/>
    <w:rsid w:val="00236989"/>
    <w:rsid w:val="002412DD"/>
    <w:rsid w:val="002421FC"/>
    <w:rsid w:val="00244954"/>
    <w:rsid w:val="00247E66"/>
    <w:rsid w:val="00256ECC"/>
    <w:rsid w:val="00261E77"/>
    <w:rsid w:val="00263A9E"/>
    <w:rsid w:val="00281B2E"/>
    <w:rsid w:val="002A2626"/>
    <w:rsid w:val="002A27E8"/>
    <w:rsid w:val="002A319D"/>
    <w:rsid w:val="002A551E"/>
    <w:rsid w:val="002C4EFC"/>
    <w:rsid w:val="002E7C5F"/>
    <w:rsid w:val="002F0AE6"/>
    <w:rsid w:val="002F3004"/>
    <w:rsid w:val="002F42A1"/>
    <w:rsid w:val="003020F4"/>
    <w:rsid w:val="00322582"/>
    <w:rsid w:val="00353F88"/>
    <w:rsid w:val="00370527"/>
    <w:rsid w:val="003708A9"/>
    <w:rsid w:val="00391C0A"/>
    <w:rsid w:val="003A0090"/>
    <w:rsid w:val="003A06DC"/>
    <w:rsid w:val="003C5132"/>
    <w:rsid w:val="003D3121"/>
    <w:rsid w:val="003E1C05"/>
    <w:rsid w:val="003F6CF4"/>
    <w:rsid w:val="00412903"/>
    <w:rsid w:val="00414C89"/>
    <w:rsid w:val="00421BEA"/>
    <w:rsid w:val="00440100"/>
    <w:rsid w:val="00451ED9"/>
    <w:rsid w:val="004656EE"/>
    <w:rsid w:val="004921A5"/>
    <w:rsid w:val="0049543F"/>
    <w:rsid w:val="004C13E6"/>
    <w:rsid w:val="004C5C74"/>
    <w:rsid w:val="004D06B4"/>
    <w:rsid w:val="004D3E2C"/>
    <w:rsid w:val="004F14F3"/>
    <w:rsid w:val="00500E8F"/>
    <w:rsid w:val="0052085D"/>
    <w:rsid w:val="005227D3"/>
    <w:rsid w:val="00531274"/>
    <w:rsid w:val="00541170"/>
    <w:rsid w:val="005413C8"/>
    <w:rsid w:val="0054140D"/>
    <w:rsid w:val="00563534"/>
    <w:rsid w:val="00565B42"/>
    <w:rsid w:val="0057406C"/>
    <w:rsid w:val="00574754"/>
    <w:rsid w:val="005945F6"/>
    <w:rsid w:val="00596E7B"/>
    <w:rsid w:val="005A6181"/>
    <w:rsid w:val="005B2EDF"/>
    <w:rsid w:val="005B329D"/>
    <w:rsid w:val="005C67F2"/>
    <w:rsid w:val="005D42D3"/>
    <w:rsid w:val="005E5D1E"/>
    <w:rsid w:val="005E60BA"/>
    <w:rsid w:val="005F531E"/>
    <w:rsid w:val="00606058"/>
    <w:rsid w:val="00624D9C"/>
    <w:rsid w:val="00637899"/>
    <w:rsid w:val="0066570B"/>
    <w:rsid w:val="00667EE8"/>
    <w:rsid w:val="006842EC"/>
    <w:rsid w:val="006A5F53"/>
    <w:rsid w:val="006B1525"/>
    <w:rsid w:val="006C0F7F"/>
    <w:rsid w:val="006C14D9"/>
    <w:rsid w:val="006C7E93"/>
    <w:rsid w:val="006F0529"/>
    <w:rsid w:val="0070663F"/>
    <w:rsid w:val="00722701"/>
    <w:rsid w:val="00732210"/>
    <w:rsid w:val="00735798"/>
    <w:rsid w:val="0073681D"/>
    <w:rsid w:val="00736BF9"/>
    <w:rsid w:val="00743BCE"/>
    <w:rsid w:val="00745DD4"/>
    <w:rsid w:val="0075241F"/>
    <w:rsid w:val="007567FD"/>
    <w:rsid w:val="00767109"/>
    <w:rsid w:val="00774547"/>
    <w:rsid w:val="00777DAA"/>
    <w:rsid w:val="00795D69"/>
    <w:rsid w:val="007B56AD"/>
    <w:rsid w:val="007D35ED"/>
    <w:rsid w:val="007D7FB0"/>
    <w:rsid w:val="00810BF1"/>
    <w:rsid w:val="00813F4A"/>
    <w:rsid w:val="00814F1E"/>
    <w:rsid w:val="00817FFE"/>
    <w:rsid w:val="00820F6F"/>
    <w:rsid w:val="00837699"/>
    <w:rsid w:val="00846B86"/>
    <w:rsid w:val="0085155F"/>
    <w:rsid w:val="00861B9B"/>
    <w:rsid w:val="00870FC2"/>
    <w:rsid w:val="00873C47"/>
    <w:rsid w:val="00874698"/>
    <w:rsid w:val="0089127E"/>
    <w:rsid w:val="008A5360"/>
    <w:rsid w:val="008A68DE"/>
    <w:rsid w:val="008B4788"/>
    <w:rsid w:val="008B6A31"/>
    <w:rsid w:val="008D6AE1"/>
    <w:rsid w:val="008E5658"/>
    <w:rsid w:val="008F3950"/>
    <w:rsid w:val="00901A78"/>
    <w:rsid w:val="00916DB0"/>
    <w:rsid w:val="0092196A"/>
    <w:rsid w:val="00923914"/>
    <w:rsid w:val="00931B78"/>
    <w:rsid w:val="009429BA"/>
    <w:rsid w:val="00944220"/>
    <w:rsid w:val="009510DC"/>
    <w:rsid w:val="0097380E"/>
    <w:rsid w:val="00975DBD"/>
    <w:rsid w:val="009774E2"/>
    <w:rsid w:val="00991E74"/>
    <w:rsid w:val="009A382B"/>
    <w:rsid w:val="009C1BBD"/>
    <w:rsid w:val="009C3C1F"/>
    <w:rsid w:val="009C6577"/>
    <w:rsid w:val="009E4934"/>
    <w:rsid w:val="00A03410"/>
    <w:rsid w:val="00A0758E"/>
    <w:rsid w:val="00A156D6"/>
    <w:rsid w:val="00A15B16"/>
    <w:rsid w:val="00A40A79"/>
    <w:rsid w:val="00A567E7"/>
    <w:rsid w:val="00A65ADD"/>
    <w:rsid w:val="00A6664C"/>
    <w:rsid w:val="00A80EEE"/>
    <w:rsid w:val="00AA17A9"/>
    <w:rsid w:val="00AA37F8"/>
    <w:rsid w:val="00AB566B"/>
    <w:rsid w:val="00AB72EA"/>
    <w:rsid w:val="00AC4A1D"/>
    <w:rsid w:val="00AC6385"/>
    <w:rsid w:val="00AE2FE5"/>
    <w:rsid w:val="00B0006A"/>
    <w:rsid w:val="00B107C7"/>
    <w:rsid w:val="00B16649"/>
    <w:rsid w:val="00B4057B"/>
    <w:rsid w:val="00B50FF9"/>
    <w:rsid w:val="00B51910"/>
    <w:rsid w:val="00B530E9"/>
    <w:rsid w:val="00B71CF5"/>
    <w:rsid w:val="00B81427"/>
    <w:rsid w:val="00B81B0B"/>
    <w:rsid w:val="00B86B3D"/>
    <w:rsid w:val="00BA2961"/>
    <w:rsid w:val="00BC1C14"/>
    <w:rsid w:val="00BC5471"/>
    <w:rsid w:val="00BC5D55"/>
    <w:rsid w:val="00BE3384"/>
    <w:rsid w:val="00BF1296"/>
    <w:rsid w:val="00BF3DB4"/>
    <w:rsid w:val="00C0137C"/>
    <w:rsid w:val="00C10DDF"/>
    <w:rsid w:val="00C13155"/>
    <w:rsid w:val="00C1760F"/>
    <w:rsid w:val="00C17A1E"/>
    <w:rsid w:val="00C207F2"/>
    <w:rsid w:val="00C24429"/>
    <w:rsid w:val="00C343A9"/>
    <w:rsid w:val="00C401DC"/>
    <w:rsid w:val="00C44FE6"/>
    <w:rsid w:val="00C54C70"/>
    <w:rsid w:val="00C56417"/>
    <w:rsid w:val="00C6591F"/>
    <w:rsid w:val="00C73A7A"/>
    <w:rsid w:val="00C73EF2"/>
    <w:rsid w:val="00C9522E"/>
    <w:rsid w:val="00CB149A"/>
    <w:rsid w:val="00CC359B"/>
    <w:rsid w:val="00CC77F9"/>
    <w:rsid w:val="00CD4CC5"/>
    <w:rsid w:val="00CD7094"/>
    <w:rsid w:val="00CF609F"/>
    <w:rsid w:val="00D00764"/>
    <w:rsid w:val="00D17993"/>
    <w:rsid w:val="00D23013"/>
    <w:rsid w:val="00D31CEC"/>
    <w:rsid w:val="00D41B9E"/>
    <w:rsid w:val="00D42800"/>
    <w:rsid w:val="00D5402A"/>
    <w:rsid w:val="00D5446A"/>
    <w:rsid w:val="00D8472E"/>
    <w:rsid w:val="00D857E9"/>
    <w:rsid w:val="00D94642"/>
    <w:rsid w:val="00DB0CC3"/>
    <w:rsid w:val="00DB27E1"/>
    <w:rsid w:val="00DC1CAA"/>
    <w:rsid w:val="00DD28BB"/>
    <w:rsid w:val="00DE3457"/>
    <w:rsid w:val="00E03EDC"/>
    <w:rsid w:val="00E2208F"/>
    <w:rsid w:val="00E23CFE"/>
    <w:rsid w:val="00E27256"/>
    <w:rsid w:val="00E33B3F"/>
    <w:rsid w:val="00E43FFF"/>
    <w:rsid w:val="00E551C0"/>
    <w:rsid w:val="00E64686"/>
    <w:rsid w:val="00E66000"/>
    <w:rsid w:val="00E71AAF"/>
    <w:rsid w:val="00E76BF4"/>
    <w:rsid w:val="00E80573"/>
    <w:rsid w:val="00E86E86"/>
    <w:rsid w:val="00E90278"/>
    <w:rsid w:val="00E917F9"/>
    <w:rsid w:val="00E924BF"/>
    <w:rsid w:val="00EA4216"/>
    <w:rsid w:val="00EA6868"/>
    <w:rsid w:val="00EB0BCB"/>
    <w:rsid w:val="00EB36D9"/>
    <w:rsid w:val="00EB638A"/>
    <w:rsid w:val="00EC396C"/>
    <w:rsid w:val="00ED68AD"/>
    <w:rsid w:val="00EE2F42"/>
    <w:rsid w:val="00EE6407"/>
    <w:rsid w:val="00F01114"/>
    <w:rsid w:val="00F4155E"/>
    <w:rsid w:val="00F54ED2"/>
    <w:rsid w:val="00F64C3B"/>
    <w:rsid w:val="00F66E74"/>
    <w:rsid w:val="00F738DA"/>
    <w:rsid w:val="00FB13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216"/>
    <w:rPr>
      <w:rFonts w:ascii="Arial" w:hAnsi="Arial" w:cs="Arial"/>
      <w:sz w:val="24"/>
    </w:rPr>
  </w:style>
  <w:style w:type="paragraph" w:styleId="Ttulo1">
    <w:name w:val="heading 1"/>
    <w:basedOn w:val="Normal"/>
    <w:next w:val="Normal"/>
    <w:link w:val="Ttulo1Car"/>
    <w:qFormat/>
    <w:rsid w:val="00EC396C"/>
    <w:pPr>
      <w:keepNext/>
      <w:outlineLvl w:val="0"/>
    </w:pPr>
    <w:rPr>
      <w:b/>
      <w:bCs/>
      <w:sz w:val="22"/>
    </w:rPr>
  </w:style>
  <w:style w:type="paragraph" w:styleId="Ttulo2">
    <w:name w:val="heading 2"/>
    <w:basedOn w:val="Normal"/>
    <w:next w:val="Normal"/>
    <w:link w:val="Ttulo2Car"/>
    <w:uiPriority w:val="99"/>
    <w:qFormat/>
    <w:rsid w:val="00EC396C"/>
    <w:pPr>
      <w:keepNext/>
      <w:outlineLvl w:val="1"/>
    </w:pPr>
    <w:rPr>
      <w:rFonts w:ascii="Arial Narrow" w:hAnsi="Arial Narrow"/>
      <w:b/>
      <w:bCs/>
    </w:rPr>
  </w:style>
  <w:style w:type="paragraph" w:styleId="Ttulo3">
    <w:name w:val="heading 3"/>
    <w:basedOn w:val="Normal"/>
    <w:next w:val="Normal"/>
    <w:qFormat/>
    <w:rsid w:val="00EC396C"/>
    <w:pPr>
      <w:keepNext/>
      <w:jc w:val="both"/>
      <w:outlineLvl w:val="2"/>
    </w:pPr>
    <w:rPr>
      <w:rFonts w:cs="Times New Roman"/>
      <w:b/>
      <w:u w:val="single"/>
    </w:rPr>
  </w:style>
  <w:style w:type="paragraph" w:styleId="Ttulo4">
    <w:name w:val="heading 4"/>
    <w:basedOn w:val="Normal"/>
    <w:next w:val="Normal"/>
    <w:link w:val="Ttulo4Car"/>
    <w:qFormat/>
    <w:rsid w:val="00EC396C"/>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EC396C"/>
    <w:pPr>
      <w:jc w:val="both"/>
    </w:pPr>
    <w:rPr>
      <w:b/>
    </w:rPr>
  </w:style>
  <w:style w:type="paragraph" w:customStyle="1" w:styleId="Negrita">
    <w:name w:val="Negrita"/>
    <w:basedOn w:val="Normal"/>
    <w:next w:val="Normal"/>
    <w:rsid w:val="00EC396C"/>
    <w:rPr>
      <w:b/>
      <w:color w:val="FF0000"/>
    </w:rPr>
  </w:style>
  <w:style w:type="paragraph" w:customStyle="1" w:styleId="UNO">
    <w:name w:val="UNO"/>
    <w:basedOn w:val="Normal"/>
    <w:next w:val="Normal"/>
    <w:autoRedefine/>
    <w:rsid w:val="00EC396C"/>
    <w:pPr>
      <w:outlineLvl w:val="0"/>
    </w:pPr>
    <w:rPr>
      <w:b/>
      <w:caps/>
      <w:sz w:val="32"/>
    </w:rPr>
  </w:style>
  <w:style w:type="paragraph" w:customStyle="1" w:styleId="DOS">
    <w:name w:val="DOS"/>
    <w:basedOn w:val="Normal"/>
    <w:next w:val="Normal"/>
    <w:autoRedefine/>
    <w:rsid w:val="00EC396C"/>
    <w:pPr>
      <w:jc w:val="center"/>
      <w:outlineLvl w:val="0"/>
    </w:pPr>
    <w:rPr>
      <w:b/>
      <w:caps/>
      <w:sz w:val="28"/>
      <w:u w:val="single"/>
    </w:rPr>
  </w:style>
  <w:style w:type="paragraph" w:customStyle="1" w:styleId="TRES">
    <w:name w:val="TRES"/>
    <w:basedOn w:val="Normal"/>
    <w:next w:val="Normal"/>
    <w:autoRedefine/>
    <w:rsid w:val="00EC396C"/>
    <w:pPr>
      <w:outlineLvl w:val="0"/>
    </w:pPr>
    <w:rPr>
      <w:b/>
      <w:i/>
    </w:rPr>
  </w:style>
  <w:style w:type="paragraph" w:customStyle="1" w:styleId="NEGRITA14">
    <w:name w:val="NEGRITA14"/>
    <w:basedOn w:val="Normal"/>
    <w:next w:val="Normal"/>
    <w:autoRedefine/>
    <w:rsid w:val="00EC396C"/>
    <w:pPr>
      <w:jc w:val="both"/>
    </w:pPr>
    <w:rPr>
      <w:b/>
      <w:caps/>
      <w:sz w:val="28"/>
    </w:rPr>
  </w:style>
  <w:style w:type="paragraph" w:customStyle="1" w:styleId="Estilo1">
    <w:name w:val="Estilo1"/>
    <w:basedOn w:val="Normal"/>
    <w:next w:val="Normal"/>
    <w:rsid w:val="00EC396C"/>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EC396C"/>
    <w:pPr>
      <w:tabs>
        <w:tab w:val="center" w:pos="4252"/>
        <w:tab w:val="right" w:pos="8504"/>
      </w:tabs>
    </w:pPr>
    <w:rPr>
      <w:rFonts w:ascii="Courier" w:hAnsi="Courier"/>
      <w:sz w:val="20"/>
      <w:lang w:val="es-ES_tradnl"/>
    </w:rPr>
  </w:style>
  <w:style w:type="paragraph" w:styleId="Encabezado">
    <w:name w:val="header"/>
    <w:basedOn w:val="Normal"/>
    <w:rsid w:val="00EC396C"/>
    <w:pPr>
      <w:tabs>
        <w:tab w:val="center" w:pos="4252"/>
        <w:tab w:val="right" w:pos="8504"/>
      </w:tabs>
    </w:pPr>
  </w:style>
  <w:style w:type="character" w:styleId="Nmerodepgina">
    <w:name w:val="page number"/>
    <w:basedOn w:val="Fuentedeprrafopredeter"/>
    <w:rsid w:val="00EC396C"/>
  </w:style>
  <w:style w:type="paragraph" w:customStyle="1" w:styleId="Rpido">
    <w:name w:val="Rápido _"/>
    <w:rsid w:val="00EC396C"/>
    <w:rPr>
      <w:snapToGrid w:val="0"/>
      <w:sz w:val="24"/>
      <w:lang w:val="es-ES_tradnl"/>
    </w:rPr>
  </w:style>
  <w:style w:type="paragraph" w:styleId="Sangradetextonormal">
    <w:name w:val="Body Text Indent"/>
    <w:basedOn w:val="Normal"/>
    <w:link w:val="SangradetextonormalCar"/>
    <w:rsid w:val="00EC396C"/>
    <w:pPr>
      <w:ind w:left="851"/>
      <w:jc w:val="both"/>
    </w:pPr>
    <w:rPr>
      <w:rFonts w:ascii="Arial Narrow" w:hAnsi="Arial Narrow"/>
      <w:sz w:val="28"/>
    </w:rPr>
  </w:style>
  <w:style w:type="paragraph" w:styleId="Textoindependiente">
    <w:name w:val="Body Text"/>
    <w:basedOn w:val="Normal"/>
    <w:rsid w:val="00EC396C"/>
    <w:rPr>
      <w:color w:val="FF0000"/>
      <w:sz w:val="20"/>
      <w:lang w:val="es-ES_tradnl"/>
    </w:rPr>
  </w:style>
  <w:style w:type="paragraph" w:styleId="Textoindependiente3">
    <w:name w:val="Body Text 3"/>
    <w:basedOn w:val="Normal"/>
    <w:rsid w:val="00EC396C"/>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B910-5F98-48BF-BDEF-986E8538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0</TotalTime>
  <Pages>3</Pages>
  <Words>954</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6192</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2017-04-04T15:46:00Z</cp:lastPrinted>
  <dcterms:created xsi:type="dcterms:W3CDTF">2017-06-28T14:07:00Z</dcterms:created>
  <dcterms:modified xsi:type="dcterms:W3CDTF">2017-06-28T14:07:00Z</dcterms:modified>
</cp:coreProperties>
</file>