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A" w:rsidRDefault="00373942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-14605</wp:posOffset>
                </wp:positionV>
                <wp:extent cx="800100" cy="4015740"/>
                <wp:effectExtent l="0" t="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1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B4" w:rsidRDefault="00B527B4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Nota de Prensa </w:t>
                            </w:r>
                            <w:proofErr w:type="spellStart"/>
                            <w:r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9pt;margin-top:-1.15pt;width:63pt;height:3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" filled="f" stroked="f">
                <v:textbox style="layout-flow:vertical;mso-layout-flow-alt:bottom-to-top">
                  <w:txbxContent>
                    <w:p w:rsidR="00B527B4" w:rsidRDefault="00B527B4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Nota de Prensa </w:t>
                      </w:r>
                      <w:proofErr w:type="spellStart"/>
                      <w:r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5494" w:rsidRPr="00197768" w:rsidRDefault="00F55494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P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noProof/>
          <w:sz w:val="28"/>
          <w:szCs w:val="28"/>
          <w:u w:val="single"/>
          <w:lang w:val="es-ES"/>
        </w:rPr>
      </w:pPr>
      <w:r w:rsidRPr="00EE2A3D">
        <w:rPr>
          <w:rFonts w:ascii="Arial Narrow" w:hAnsi="Arial Narrow"/>
          <w:noProof/>
          <w:sz w:val="28"/>
          <w:szCs w:val="28"/>
          <w:u w:val="single"/>
          <w:lang w:val="es-ES"/>
        </w:rPr>
        <w:t>Subvenciones del Fondo Social Europeo</w:t>
      </w:r>
      <w:r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(FSE)</w:t>
      </w:r>
    </w:p>
    <w:p w:rsidR="00207F5D" w:rsidRPr="005179EB" w:rsidRDefault="00270050" w:rsidP="00270050">
      <w:pPr>
        <w:pStyle w:val="Piedepgina"/>
        <w:ind w:left="1985"/>
        <w:rPr>
          <w:rFonts w:ascii="Arial Narrow" w:hAnsi="Arial Narrow"/>
          <w:b/>
          <w:noProof/>
          <w:sz w:val="50"/>
          <w:szCs w:val="50"/>
          <w:lang w:val="es-ES"/>
        </w:rPr>
      </w:pPr>
      <w:r w:rsidRPr="005179EB">
        <w:rPr>
          <w:rFonts w:ascii="Arial Narrow" w:hAnsi="Arial Narrow"/>
          <w:b/>
          <w:noProof/>
          <w:sz w:val="50"/>
          <w:szCs w:val="50"/>
          <w:lang w:val="es-ES"/>
        </w:rPr>
        <w:t xml:space="preserve">El Ministerio de la Presidencia y para las Administraciones Territoriales </w:t>
      </w:r>
      <w:r w:rsidR="005179EB" w:rsidRPr="005179EB">
        <w:rPr>
          <w:rFonts w:ascii="Arial Narrow" w:hAnsi="Arial Narrow"/>
          <w:b/>
          <w:noProof/>
          <w:sz w:val="50"/>
          <w:szCs w:val="50"/>
          <w:lang w:val="es-ES"/>
        </w:rPr>
        <w:t>convoca ayudas por importe de 24,5 millones de euros</w:t>
      </w:r>
      <w:r w:rsidR="005179EB">
        <w:rPr>
          <w:rFonts w:ascii="Arial Narrow" w:hAnsi="Arial Narrow"/>
          <w:b/>
          <w:noProof/>
          <w:sz w:val="50"/>
          <w:szCs w:val="50"/>
          <w:lang w:val="es-ES"/>
        </w:rPr>
        <w:t xml:space="preserve"> </w:t>
      </w:r>
      <w:r w:rsidR="005179EB" w:rsidRPr="005179EB">
        <w:rPr>
          <w:rFonts w:ascii="Arial Narrow" w:hAnsi="Arial Narrow"/>
          <w:b/>
          <w:noProof/>
          <w:sz w:val="50"/>
          <w:szCs w:val="50"/>
          <w:lang w:val="es-ES"/>
        </w:rPr>
        <w:t xml:space="preserve">destinadas </w:t>
      </w:r>
      <w:r w:rsidRPr="005179EB">
        <w:rPr>
          <w:rFonts w:ascii="Arial Narrow" w:hAnsi="Arial Narrow"/>
          <w:b/>
          <w:noProof/>
          <w:sz w:val="50"/>
          <w:szCs w:val="50"/>
          <w:lang w:val="es-ES"/>
        </w:rPr>
        <w:t xml:space="preserve">a las </w:t>
      </w:r>
      <w:r w:rsidR="00966761" w:rsidRPr="005179EB">
        <w:rPr>
          <w:rFonts w:ascii="Arial Narrow" w:hAnsi="Arial Narrow"/>
          <w:b/>
          <w:noProof/>
          <w:sz w:val="50"/>
          <w:szCs w:val="50"/>
          <w:lang w:val="es-ES"/>
        </w:rPr>
        <w:t>entidade</w:t>
      </w:r>
      <w:r w:rsidR="005179EB">
        <w:rPr>
          <w:rFonts w:ascii="Arial Narrow" w:hAnsi="Arial Narrow"/>
          <w:b/>
          <w:noProof/>
          <w:sz w:val="50"/>
          <w:szCs w:val="50"/>
          <w:lang w:val="es-ES"/>
        </w:rPr>
        <w:t>s</w:t>
      </w:r>
      <w:r w:rsidR="00966761" w:rsidRPr="005179EB">
        <w:rPr>
          <w:rFonts w:ascii="Arial Narrow" w:hAnsi="Arial Narrow"/>
          <w:b/>
          <w:noProof/>
          <w:sz w:val="50"/>
          <w:szCs w:val="50"/>
          <w:lang w:val="es-ES"/>
        </w:rPr>
        <w:t xml:space="preserve"> l</w:t>
      </w:r>
      <w:r w:rsidRPr="005179EB">
        <w:rPr>
          <w:rFonts w:ascii="Arial Narrow" w:hAnsi="Arial Narrow"/>
          <w:b/>
          <w:noProof/>
          <w:sz w:val="50"/>
          <w:szCs w:val="50"/>
          <w:lang w:val="es-ES"/>
        </w:rPr>
        <w:t>ocales para programas de empleo juvenil</w:t>
      </w:r>
    </w:p>
    <w:p w:rsidR="0027005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P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B527B4">
      <w:pPr>
        <w:pStyle w:val="Piedepgina"/>
        <w:numPr>
          <w:ilvl w:val="0"/>
          <w:numId w:val="40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Se beneficiarán de las ayudas </w:t>
      </w:r>
      <w:r w:rsidR="00B527B4">
        <w:rPr>
          <w:rFonts w:ascii="Arial Narrow" w:hAnsi="Arial Narrow"/>
          <w:b/>
          <w:noProof/>
          <w:sz w:val="28"/>
          <w:szCs w:val="28"/>
          <w:lang w:val="es-ES"/>
        </w:rPr>
        <w:t>los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 jóvenes que no </w:t>
      </w:r>
      <w:r w:rsidR="007303E0">
        <w:rPr>
          <w:rFonts w:ascii="Arial Narrow" w:hAnsi="Arial Narrow"/>
          <w:b/>
          <w:noProof/>
          <w:sz w:val="28"/>
          <w:szCs w:val="28"/>
          <w:lang w:val="es-ES"/>
        </w:rPr>
        <w:t xml:space="preserve">trabajan ni 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>estudian, a través de actividades formativas</w:t>
      </w:r>
    </w:p>
    <w:p w:rsidR="005179EB" w:rsidRDefault="005179EB" w:rsidP="00B527B4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5179EB" w:rsidRDefault="005179EB" w:rsidP="00B527B4">
      <w:pPr>
        <w:pStyle w:val="Piedepgina"/>
        <w:numPr>
          <w:ilvl w:val="0"/>
          <w:numId w:val="40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Las ayudas que </w:t>
      </w:r>
      <w:r w:rsidR="00B527B4">
        <w:rPr>
          <w:rFonts w:ascii="Arial Narrow" w:hAnsi="Arial Narrow"/>
          <w:b/>
          <w:noProof/>
          <w:sz w:val="28"/>
          <w:szCs w:val="28"/>
          <w:lang w:val="es-ES"/>
        </w:rPr>
        <w:t>hoy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 se convocan completan las adjudicadas en el mes de julio, por importe de 75,5 millones de euros, hasta alcanzar los 100 millones destinados a programas de empleo juvenil por las EELL</w:t>
      </w:r>
      <w:r w:rsidR="00B527B4">
        <w:rPr>
          <w:rFonts w:ascii="Arial Narrow" w:hAnsi="Arial Narrow"/>
          <w:b/>
          <w:noProof/>
          <w:sz w:val="28"/>
          <w:szCs w:val="28"/>
          <w:lang w:val="es-ES"/>
        </w:rPr>
        <w:t xml:space="preserve"> en 2017</w:t>
      </w:r>
    </w:p>
    <w:p w:rsidR="00EE2A3D" w:rsidRDefault="00EE2A3D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B527B4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P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5179EB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  <w:r w:rsidRPr="005179EB">
        <w:rPr>
          <w:rFonts w:ascii="Arial Narrow" w:hAnsi="Arial Narrow"/>
          <w:b/>
          <w:noProof/>
          <w:sz w:val="28"/>
          <w:szCs w:val="28"/>
        </w:rPr>
        <w:t>29 de agosto</w:t>
      </w:r>
      <w:r w:rsidR="00270050" w:rsidRPr="005179EB">
        <w:rPr>
          <w:rFonts w:ascii="Arial Narrow" w:hAnsi="Arial Narrow"/>
          <w:b/>
          <w:noProof/>
          <w:sz w:val="28"/>
          <w:szCs w:val="28"/>
        </w:rPr>
        <w:t xml:space="preserve"> de 2017.- </w:t>
      </w:r>
      <w:r w:rsidR="00270050" w:rsidRPr="005179EB">
        <w:rPr>
          <w:rFonts w:ascii="Arial Narrow" w:hAnsi="Arial Narrow"/>
          <w:noProof/>
          <w:sz w:val="28"/>
          <w:szCs w:val="28"/>
        </w:rPr>
        <w:t xml:space="preserve">El Ministerio de la Presidencia y para las Administraciones Territoriales ha </w:t>
      </w:r>
      <w:r w:rsidRPr="005179EB">
        <w:rPr>
          <w:rFonts w:ascii="Arial Narrow" w:hAnsi="Arial Narrow"/>
          <w:noProof/>
          <w:sz w:val="28"/>
          <w:szCs w:val="28"/>
        </w:rPr>
        <w:t xml:space="preserve">convocado </w:t>
      </w:r>
      <w:r w:rsidR="001F3453">
        <w:rPr>
          <w:rFonts w:ascii="Arial Narrow" w:hAnsi="Arial Narrow"/>
          <w:noProof/>
          <w:sz w:val="28"/>
          <w:szCs w:val="28"/>
        </w:rPr>
        <w:t xml:space="preserve">hoy </w:t>
      </w:r>
      <w:r w:rsidRPr="005179EB">
        <w:rPr>
          <w:rFonts w:ascii="Arial Narrow" w:hAnsi="Arial Narrow"/>
          <w:noProof/>
          <w:sz w:val="28"/>
          <w:szCs w:val="28"/>
        </w:rPr>
        <w:t xml:space="preserve">ayudas por importe de </w:t>
      </w:r>
      <w:r w:rsidRPr="005179EB">
        <w:rPr>
          <w:rFonts w:ascii="Arial Narrow" w:hAnsi="Arial Narrow"/>
          <w:sz w:val="28"/>
          <w:szCs w:val="28"/>
        </w:rPr>
        <w:t>24,5 millones de euros, con cargo al Fondo Social Europeo y la Iniciativa de Empleo Juvenil, que contribuirán al cumplimiento del Plan Nacional de Garantía Juvenil.</w:t>
      </w:r>
    </w:p>
    <w:p w:rsidR="00645A91" w:rsidRDefault="00645A91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645A91" w:rsidRPr="005179EB" w:rsidRDefault="00645A91" w:rsidP="005179EB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ayudas que hoy se convocan completan las adjudicadas </w:t>
      </w:r>
      <w:r w:rsidR="00B527B4">
        <w:rPr>
          <w:rFonts w:ascii="Arial Narrow" w:hAnsi="Arial Narrow"/>
          <w:sz w:val="28"/>
          <w:szCs w:val="28"/>
        </w:rPr>
        <w:t xml:space="preserve">ya </w:t>
      </w:r>
      <w:r>
        <w:rPr>
          <w:rFonts w:ascii="Arial Narrow" w:hAnsi="Arial Narrow"/>
          <w:sz w:val="28"/>
          <w:szCs w:val="28"/>
        </w:rPr>
        <w:t>e</w:t>
      </w:r>
      <w:r w:rsidR="00B527B4">
        <w:rPr>
          <w:rFonts w:ascii="Arial Narrow" w:hAnsi="Arial Narrow"/>
          <w:sz w:val="28"/>
          <w:szCs w:val="28"/>
        </w:rPr>
        <w:t>l pasado mes</w:t>
      </w:r>
      <w:r>
        <w:rPr>
          <w:rFonts w:ascii="Arial Narrow" w:hAnsi="Arial Narrow"/>
          <w:sz w:val="28"/>
          <w:szCs w:val="28"/>
        </w:rPr>
        <w:t xml:space="preserve"> de julio, por importe de 75,5 millones de euros, alcanzando con la convocatoria actual los 100 millones de euros previstos para el programa de empleo juvenil</w:t>
      </w:r>
      <w:r w:rsidR="00B527B4">
        <w:rPr>
          <w:rFonts w:ascii="Arial Narrow" w:hAnsi="Arial Narrow"/>
          <w:sz w:val="28"/>
          <w:szCs w:val="28"/>
        </w:rPr>
        <w:t xml:space="preserve"> en 2017</w:t>
      </w:r>
      <w:r>
        <w:rPr>
          <w:rFonts w:ascii="Arial Narrow" w:hAnsi="Arial Narrow"/>
          <w:sz w:val="28"/>
          <w:szCs w:val="28"/>
        </w:rPr>
        <w:t>.</w:t>
      </w:r>
    </w:p>
    <w:p w:rsidR="005179EB" w:rsidRPr="005179EB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5179EB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  <w:r w:rsidRPr="005179EB">
        <w:rPr>
          <w:rFonts w:ascii="Arial Narrow" w:hAnsi="Arial Narrow"/>
          <w:sz w:val="28"/>
          <w:szCs w:val="28"/>
        </w:rPr>
        <w:t xml:space="preserve">El </w:t>
      </w:r>
      <w:r w:rsidRPr="00B527B4">
        <w:rPr>
          <w:rFonts w:ascii="Arial Narrow" w:hAnsi="Arial Narrow"/>
          <w:sz w:val="28"/>
          <w:szCs w:val="28"/>
        </w:rPr>
        <w:t xml:space="preserve">objetivo </w:t>
      </w:r>
      <w:r w:rsidRPr="005179EB">
        <w:rPr>
          <w:rFonts w:ascii="Arial Narrow" w:hAnsi="Arial Narrow"/>
          <w:sz w:val="28"/>
          <w:szCs w:val="28"/>
        </w:rPr>
        <w:t>de estas ayudas es la integración sostenible en el mercado laboral de las personas jóvenes que no trabajan ni participan en los sistemas de educación ni formación.</w:t>
      </w:r>
    </w:p>
    <w:p w:rsidR="005179EB" w:rsidRPr="005179EB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5179EB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  <w:r w:rsidRPr="005179EB">
        <w:rPr>
          <w:rFonts w:ascii="Arial Narrow" w:hAnsi="Arial Narrow"/>
          <w:sz w:val="28"/>
          <w:szCs w:val="28"/>
        </w:rPr>
        <w:t xml:space="preserve">Las ayudas están </w:t>
      </w:r>
      <w:r w:rsidRPr="005179EB">
        <w:rPr>
          <w:rFonts w:ascii="Arial Narrow" w:hAnsi="Arial Narrow"/>
          <w:sz w:val="28"/>
          <w:szCs w:val="28"/>
          <w:u w:val="single"/>
        </w:rPr>
        <w:t>destinadas a cofinanciar proyectos promovidos por las entidades locales solicitantes</w:t>
      </w:r>
      <w:r w:rsidRPr="005179EB">
        <w:rPr>
          <w:rFonts w:ascii="Arial Narrow" w:hAnsi="Arial Narrow"/>
          <w:sz w:val="28"/>
          <w:szCs w:val="28"/>
        </w:rPr>
        <w:t>, que incluyan la realización de actividades formativas para la mejora de la formación y la empleabilidad de los jóvenes participantes en las mismas, inscritos en el Sistema Nacional de Garantía Juvenil.</w:t>
      </w:r>
    </w:p>
    <w:p w:rsidR="00645A91" w:rsidRPr="00B527B4" w:rsidRDefault="00645A91" w:rsidP="005179EB">
      <w:pPr>
        <w:ind w:left="226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527B4">
        <w:rPr>
          <w:rFonts w:ascii="Arial Narrow" w:hAnsi="Arial Narrow"/>
          <w:b/>
          <w:sz w:val="28"/>
          <w:szCs w:val="28"/>
          <w:u w:val="single"/>
        </w:rPr>
        <w:lastRenderedPageBreak/>
        <w:t>Las nuevas ayudas pueden solicitarse hasta el 25 de octubre</w:t>
      </w:r>
    </w:p>
    <w:p w:rsidR="00645A91" w:rsidRPr="00B527B4" w:rsidRDefault="00645A91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B527B4" w:rsidRDefault="00645A91" w:rsidP="005179EB">
      <w:pPr>
        <w:ind w:left="2268"/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 xml:space="preserve">Las nuevas ayudas de 24,5 millones de euros, que hoy se convocan, pueden solicitarse </w:t>
      </w:r>
      <w:r w:rsidR="005179EB" w:rsidRPr="00B527B4">
        <w:rPr>
          <w:rFonts w:ascii="Arial Narrow" w:hAnsi="Arial Narrow"/>
          <w:sz w:val="28"/>
          <w:szCs w:val="28"/>
        </w:rPr>
        <w:t>por las siguientes entidades locales:</w:t>
      </w:r>
    </w:p>
    <w:p w:rsidR="005179EB" w:rsidRPr="00B527B4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B527B4" w:rsidRDefault="005179EB" w:rsidP="005179EB">
      <w:pPr>
        <w:pStyle w:val="Prrafodelista"/>
        <w:numPr>
          <w:ilvl w:val="0"/>
          <w:numId w:val="41"/>
        </w:numPr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>Ayuntamientos de municipios con población superior a 20.000 habitantes.</w:t>
      </w:r>
    </w:p>
    <w:p w:rsidR="005179EB" w:rsidRPr="00B527B4" w:rsidRDefault="005179EB" w:rsidP="005179EB">
      <w:pPr>
        <w:pStyle w:val="Prrafodelista"/>
        <w:numPr>
          <w:ilvl w:val="0"/>
          <w:numId w:val="41"/>
        </w:numPr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 xml:space="preserve">Diputaciones, Cabildos y Consejos Insulares y Comunidades Autónomas </w:t>
      </w:r>
      <w:proofErr w:type="spellStart"/>
      <w:r w:rsidRPr="00B527B4">
        <w:rPr>
          <w:rFonts w:ascii="Arial Narrow" w:hAnsi="Arial Narrow"/>
          <w:sz w:val="28"/>
          <w:szCs w:val="28"/>
        </w:rPr>
        <w:t>uniprovinciales</w:t>
      </w:r>
      <w:proofErr w:type="spellEnd"/>
      <w:r w:rsidRPr="00B527B4">
        <w:rPr>
          <w:rFonts w:ascii="Arial Narrow" w:hAnsi="Arial Narrow"/>
          <w:sz w:val="28"/>
          <w:szCs w:val="28"/>
        </w:rPr>
        <w:t>, en el ejercicio de las competencias que corresponden a las Diputaciones Provinciales.</w:t>
      </w:r>
    </w:p>
    <w:p w:rsidR="005179EB" w:rsidRPr="00B527B4" w:rsidRDefault="005179EB" w:rsidP="005179EB">
      <w:pPr>
        <w:pStyle w:val="Prrafodelista"/>
        <w:numPr>
          <w:ilvl w:val="0"/>
          <w:numId w:val="41"/>
        </w:numPr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>Organismos Autónomos dependientes de cualquiera de las entidades señaladas en los apartados anteriores.</w:t>
      </w:r>
    </w:p>
    <w:p w:rsidR="005179EB" w:rsidRPr="00B527B4" w:rsidRDefault="005179EB" w:rsidP="005179E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B527B4" w:rsidRDefault="005179EB" w:rsidP="00645A91">
      <w:pPr>
        <w:ind w:left="2268"/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>Las solicitudes se p</w:t>
      </w:r>
      <w:r w:rsidR="00645A91" w:rsidRPr="00B527B4">
        <w:rPr>
          <w:rFonts w:ascii="Arial Narrow" w:hAnsi="Arial Narrow"/>
          <w:sz w:val="28"/>
          <w:szCs w:val="28"/>
        </w:rPr>
        <w:t>ueden</w:t>
      </w:r>
      <w:r w:rsidRPr="00B527B4">
        <w:rPr>
          <w:rFonts w:ascii="Arial Narrow" w:hAnsi="Arial Narrow"/>
          <w:sz w:val="28"/>
          <w:szCs w:val="28"/>
        </w:rPr>
        <w:t xml:space="preserve"> presentar hasta el 25 de octubre</w:t>
      </w:r>
      <w:r w:rsidR="00645A91" w:rsidRPr="00B527B4">
        <w:rPr>
          <w:rFonts w:ascii="Arial Narrow" w:hAnsi="Arial Narrow"/>
          <w:sz w:val="28"/>
          <w:szCs w:val="28"/>
        </w:rPr>
        <w:t xml:space="preserve">, exclusivamente </w:t>
      </w:r>
      <w:r w:rsidRPr="00B527B4">
        <w:rPr>
          <w:rFonts w:ascii="Arial Narrow" w:hAnsi="Arial Narrow"/>
          <w:sz w:val="28"/>
          <w:szCs w:val="28"/>
        </w:rPr>
        <w:t>por vía electrónica</w:t>
      </w:r>
      <w:r w:rsidR="00645A91" w:rsidRPr="00B527B4">
        <w:rPr>
          <w:rFonts w:ascii="Arial Narrow" w:hAnsi="Arial Narrow"/>
          <w:sz w:val="28"/>
          <w:szCs w:val="28"/>
        </w:rPr>
        <w:t>, a través de la página web</w:t>
      </w:r>
      <w:r w:rsidRPr="00B527B4">
        <w:rPr>
          <w:rFonts w:ascii="Arial Narrow" w:hAnsi="Arial Narrow"/>
          <w:sz w:val="28"/>
          <w:szCs w:val="28"/>
        </w:rPr>
        <w:t xml:space="preserve"> de la Secretaría de Estado para las Administraciones Territoriales (</w:t>
      </w:r>
      <w:hyperlink r:id="rId9" w:history="1">
        <w:r w:rsidRPr="00B527B4">
          <w:rPr>
            <w:rStyle w:val="Hipervnculo"/>
            <w:rFonts w:ascii="Arial Narrow" w:hAnsi="Arial Narrow"/>
            <w:sz w:val="28"/>
            <w:szCs w:val="28"/>
          </w:rPr>
          <w:t>www.seat.mpr.gob.es</w:t>
        </w:r>
      </w:hyperlink>
      <w:r w:rsidRPr="00B527B4">
        <w:rPr>
          <w:rFonts w:ascii="Arial Narrow" w:hAnsi="Arial Narrow"/>
          <w:sz w:val="28"/>
          <w:szCs w:val="28"/>
        </w:rPr>
        <w:t>).</w:t>
      </w:r>
    </w:p>
    <w:p w:rsidR="00645A91" w:rsidRPr="00B527B4" w:rsidRDefault="00645A91" w:rsidP="00645A91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5179EB" w:rsidRPr="00B527B4" w:rsidRDefault="005179EB" w:rsidP="00645A91">
      <w:pPr>
        <w:ind w:left="2268"/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>El plazo de ejecución de los proyectos finaliza el 31 de diciembre de 2018, de acuerdo con la asignación financiera de la Iniciativa de Empleo Juvenil y la normativa de aplicación de los Fondos Europeos 2014-2020.</w:t>
      </w:r>
    </w:p>
    <w:p w:rsidR="005179EB" w:rsidRPr="00B527B4" w:rsidRDefault="005179EB" w:rsidP="00270050">
      <w:pPr>
        <w:pStyle w:val="Piedepgina"/>
        <w:ind w:left="1985"/>
        <w:jc w:val="both"/>
        <w:rPr>
          <w:rFonts w:ascii="Arial Narrow" w:hAnsi="Arial Narrow"/>
          <w:noProof/>
          <w:sz w:val="28"/>
          <w:szCs w:val="28"/>
          <w:lang w:val="es-ES"/>
        </w:rPr>
      </w:pPr>
    </w:p>
    <w:p w:rsidR="005179EB" w:rsidRPr="00B527B4" w:rsidRDefault="00645A91" w:rsidP="001F3453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u w:val="single"/>
          <w:lang w:val="es-ES"/>
        </w:rPr>
      </w:pPr>
      <w:r w:rsidRPr="00B527B4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t xml:space="preserve">Proyectos ya adjudicados en </w:t>
      </w:r>
      <w:r w:rsidR="00B527B4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t xml:space="preserve">el mes de </w:t>
      </w:r>
      <w:r w:rsidRPr="00B527B4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t>julio</w:t>
      </w:r>
    </w:p>
    <w:p w:rsidR="005179EB" w:rsidRPr="00B527B4" w:rsidRDefault="005179EB" w:rsidP="001F3453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u w:val="single"/>
          <w:lang w:val="es-ES"/>
        </w:rPr>
      </w:pPr>
    </w:p>
    <w:p w:rsidR="00270050" w:rsidRPr="00B527B4" w:rsidRDefault="00645A91" w:rsidP="001F3453">
      <w:pPr>
        <w:pStyle w:val="Piedepgina"/>
        <w:ind w:left="2268"/>
        <w:jc w:val="both"/>
        <w:rPr>
          <w:rFonts w:ascii="Arial Narrow" w:hAnsi="Arial Narrow"/>
          <w:noProof/>
          <w:sz w:val="28"/>
          <w:szCs w:val="28"/>
          <w:lang w:val="es-ES"/>
        </w:rPr>
      </w:pPr>
      <w:r w:rsidRPr="00B527B4">
        <w:rPr>
          <w:rFonts w:ascii="Arial Narrow" w:hAnsi="Arial Narrow"/>
          <w:noProof/>
          <w:sz w:val="28"/>
          <w:szCs w:val="28"/>
          <w:lang w:val="es-ES"/>
        </w:rPr>
        <w:t>En el mes de julio, el Ministerio de la Pesidencia y para las Administraciones Territoriales ya adjudicó</w:t>
      </w:r>
      <w:r w:rsidR="00270050" w:rsidRPr="00B527B4">
        <w:rPr>
          <w:rFonts w:ascii="Arial Narrow" w:hAnsi="Arial Narrow"/>
          <w:noProof/>
          <w:sz w:val="28"/>
          <w:szCs w:val="28"/>
          <w:lang w:val="es-ES"/>
        </w:rPr>
        <w:t xml:space="preserve"> 75.488.275 euros, destinados a la realizaci</w:t>
      </w:r>
      <w:r w:rsidR="00EE2A3D" w:rsidRPr="00B527B4">
        <w:rPr>
          <w:rFonts w:ascii="Arial Narrow" w:hAnsi="Arial Narrow"/>
          <w:noProof/>
          <w:sz w:val="28"/>
          <w:szCs w:val="28"/>
          <w:lang w:val="es-ES"/>
        </w:rPr>
        <w:t>ón de actividades formativas para los jóvenes ins</w:t>
      </w:r>
      <w:r w:rsidR="00270050" w:rsidRPr="00B527B4">
        <w:rPr>
          <w:rFonts w:ascii="Arial Narrow" w:hAnsi="Arial Narrow"/>
          <w:noProof/>
          <w:sz w:val="28"/>
          <w:szCs w:val="28"/>
          <w:lang w:val="es-ES"/>
        </w:rPr>
        <w:t>critos en el Sistema Nacional de Garantía Juvenil.</w:t>
      </w:r>
    </w:p>
    <w:p w:rsidR="00270050" w:rsidRPr="00B527B4" w:rsidRDefault="00270050" w:rsidP="001F3453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</w:p>
    <w:p w:rsidR="009127F6" w:rsidRPr="00B527B4" w:rsidRDefault="009127F6" w:rsidP="001F3453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>Se subven</w:t>
      </w:r>
      <w:r w:rsidR="00B71FE3" w:rsidRPr="00B527B4">
        <w:rPr>
          <w:rFonts w:ascii="Arial Narrow" w:hAnsi="Arial Narrow"/>
          <w:sz w:val="28"/>
          <w:szCs w:val="28"/>
        </w:rPr>
        <w:t>ciona</w:t>
      </w:r>
      <w:r w:rsidR="00645A91" w:rsidRPr="00B527B4">
        <w:rPr>
          <w:rFonts w:ascii="Arial Narrow" w:hAnsi="Arial Narrow"/>
          <w:sz w:val="28"/>
          <w:szCs w:val="28"/>
        </w:rPr>
        <w:t xml:space="preserve">ron </w:t>
      </w:r>
      <w:r w:rsidR="00AA083D" w:rsidRPr="00B527B4">
        <w:rPr>
          <w:rFonts w:ascii="Arial Narrow" w:hAnsi="Arial Narrow"/>
          <w:sz w:val="28"/>
          <w:szCs w:val="28"/>
        </w:rPr>
        <w:t xml:space="preserve">un total de </w:t>
      </w:r>
      <w:r w:rsidR="00B71FE3" w:rsidRPr="00B527B4">
        <w:rPr>
          <w:rFonts w:ascii="Arial Narrow" w:hAnsi="Arial Narrow"/>
          <w:sz w:val="28"/>
          <w:szCs w:val="28"/>
        </w:rPr>
        <w:t>112 proyectos</w:t>
      </w:r>
      <w:r w:rsidRPr="00B527B4">
        <w:rPr>
          <w:rFonts w:ascii="Arial Narrow" w:hAnsi="Arial Narrow"/>
          <w:sz w:val="28"/>
          <w:szCs w:val="28"/>
        </w:rPr>
        <w:t xml:space="preserve"> </w:t>
      </w:r>
      <w:r w:rsidR="00B71FE3" w:rsidRPr="00B527B4">
        <w:rPr>
          <w:rFonts w:ascii="Arial Narrow" w:hAnsi="Arial Narrow"/>
          <w:sz w:val="28"/>
          <w:szCs w:val="28"/>
        </w:rPr>
        <w:t xml:space="preserve">presentados por las </w:t>
      </w:r>
      <w:r w:rsidR="00966761" w:rsidRPr="00B527B4">
        <w:rPr>
          <w:rFonts w:ascii="Arial Narrow" w:hAnsi="Arial Narrow"/>
          <w:sz w:val="28"/>
          <w:szCs w:val="28"/>
        </w:rPr>
        <w:t>entidades l</w:t>
      </w:r>
      <w:r w:rsidR="00B71FE3" w:rsidRPr="00B527B4">
        <w:rPr>
          <w:rFonts w:ascii="Arial Narrow" w:hAnsi="Arial Narrow"/>
          <w:sz w:val="28"/>
          <w:szCs w:val="28"/>
        </w:rPr>
        <w:t xml:space="preserve">ocales, </w:t>
      </w:r>
      <w:r w:rsidRPr="00B527B4">
        <w:rPr>
          <w:rFonts w:ascii="Arial Narrow" w:hAnsi="Arial Narrow"/>
          <w:sz w:val="28"/>
          <w:szCs w:val="28"/>
        </w:rPr>
        <w:t>con actuaciones formativas en prácticamente todo el territorio naci</w:t>
      </w:r>
      <w:r w:rsidR="00B71FE3" w:rsidRPr="00B527B4">
        <w:rPr>
          <w:rFonts w:ascii="Arial Narrow" w:hAnsi="Arial Narrow"/>
          <w:sz w:val="28"/>
          <w:szCs w:val="28"/>
        </w:rPr>
        <w:t>onal, de la</w:t>
      </w:r>
      <w:r w:rsidRPr="00B527B4">
        <w:rPr>
          <w:rFonts w:ascii="Arial Narrow" w:hAnsi="Arial Narrow"/>
          <w:sz w:val="28"/>
          <w:szCs w:val="28"/>
        </w:rPr>
        <w:t xml:space="preserve">s que </w:t>
      </w:r>
      <w:r w:rsidR="00645A91" w:rsidRPr="00B527B4">
        <w:rPr>
          <w:rFonts w:ascii="Arial Narrow" w:hAnsi="Arial Narrow"/>
          <w:sz w:val="28"/>
          <w:szCs w:val="28"/>
        </w:rPr>
        <w:t xml:space="preserve">ya </w:t>
      </w:r>
      <w:r w:rsidRPr="00B527B4">
        <w:rPr>
          <w:rFonts w:ascii="Arial Narrow" w:hAnsi="Arial Narrow"/>
          <w:sz w:val="28"/>
          <w:szCs w:val="28"/>
        </w:rPr>
        <w:t xml:space="preserve">se </w:t>
      </w:r>
      <w:r w:rsidR="00645A91" w:rsidRPr="00B527B4">
        <w:rPr>
          <w:rFonts w:ascii="Arial Narrow" w:hAnsi="Arial Narrow"/>
          <w:sz w:val="28"/>
          <w:szCs w:val="28"/>
        </w:rPr>
        <w:t>están beneficiando</w:t>
      </w:r>
      <w:r w:rsidRPr="00B527B4">
        <w:rPr>
          <w:rFonts w:ascii="Arial Narrow" w:hAnsi="Arial Narrow"/>
          <w:sz w:val="28"/>
          <w:szCs w:val="28"/>
        </w:rPr>
        <w:t xml:space="preserve"> 11.621 personas, el 59% mujeres.</w:t>
      </w:r>
      <w:r w:rsidR="00645A91" w:rsidRPr="00B527B4">
        <w:rPr>
          <w:rFonts w:ascii="Arial Narrow" w:hAnsi="Arial Narrow"/>
          <w:sz w:val="28"/>
          <w:szCs w:val="28"/>
        </w:rPr>
        <w:t xml:space="preserve"> </w:t>
      </w:r>
      <w:r w:rsidR="00B527B4" w:rsidRPr="00B527B4">
        <w:rPr>
          <w:rFonts w:ascii="Arial Narrow" w:hAnsi="Arial Narrow"/>
          <w:sz w:val="28"/>
          <w:szCs w:val="28"/>
        </w:rPr>
        <w:t xml:space="preserve">Se </w:t>
      </w:r>
      <w:r w:rsidR="00B527B4">
        <w:rPr>
          <w:rFonts w:ascii="Arial Narrow" w:hAnsi="Arial Narrow"/>
          <w:sz w:val="28"/>
          <w:szCs w:val="28"/>
        </w:rPr>
        <w:t>desarrollan con estas ayudas</w:t>
      </w:r>
      <w:r w:rsidRPr="00B527B4">
        <w:rPr>
          <w:rFonts w:ascii="Arial Narrow" w:hAnsi="Arial Narrow"/>
          <w:sz w:val="28"/>
          <w:szCs w:val="28"/>
        </w:rPr>
        <w:t xml:space="preserve"> 1.102 ediciones formativas, el 80% destinadas a la obtención de un certificado de profesionalidad</w:t>
      </w:r>
      <w:r w:rsidR="00B527B4" w:rsidRPr="00B527B4">
        <w:rPr>
          <w:rFonts w:ascii="Arial Narrow" w:hAnsi="Arial Narrow"/>
          <w:sz w:val="28"/>
          <w:szCs w:val="28"/>
        </w:rPr>
        <w:t>, con</w:t>
      </w:r>
      <w:r w:rsidRPr="00B527B4">
        <w:rPr>
          <w:rFonts w:ascii="Arial Narrow" w:hAnsi="Arial Narrow"/>
          <w:sz w:val="28"/>
          <w:szCs w:val="28"/>
        </w:rPr>
        <w:t xml:space="preserve"> 286.255 horas de formación específica y 121.021 </w:t>
      </w:r>
      <w:r w:rsidR="00AA083D" w:rsidRPr="00B527B4">
        <w:rPr>
          <w:rFonts w:ascii="Arial Narrow" w:hAnsi="Arial Narrow"/>
          <w:sz w:val="28"/>
          <w:szCs w:val="28"/>
        </w:rPr>
        <w:t xml:space="preserve">horas </w:t>
      </w:r>
      <w:r w:rsidRPr="00B527B4">
        <w:rPr>
          <w:rFonts w:ascii="Arial Narrow" w:hAnsi="Arial Narrow"/>
          <w:sz w:val="28"/>
          <w:szCs w:val="28"/>
        </w:rPr>
        <w:t>de práctica profesional, además de formación transversal en otras materias, entre las que 57.154 en idiomas y 52.256 en nuevas tecnologías.</w:t>
      </w:r>
    </w:p>
    <w:p w:rsidR="009127F6" w:rsidRPr="00B527B4" w:rsidRDefault="009127F6" w:rsidP="001F3453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</w:p>
    <w:p w:rsidR="009127F6" w:rsidRPr="00B527B4" w:rsidRDefault="00EE2A3D" w:rsidP="001F3453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  <w:r w:rsidRPr="00B527B4">
        <w:rPr>
          <w:rFonts w:ascii="Arial Narrow" w:hAnsi="Arial Narrow"/>
          <w:sz w:val="28"/>
          <w:szCs w:val="28"/>
        </w:rPr>
        <w:t xml:space="preserve">Se </w:t>
      </w:r>
      <w:r w:rsidR="00645A91" w:rsidRPr="00B527B4">
        <w:rPr>
          <w:rFonts w:ascii="Arial Narrow" w:hAnsi="Arial Narrow"/>
          <w:sz w:val="28"/>
          <w:szCs w:val="28"/>
        </w:rPr>
        <w:t>priorizan</w:t>
      </w:r>
      <w:r w:rsidRPr="00B527B4">
        <w:rPr>
          <w:rFonts w:ascii="Arial Narrow" w:hAnsi="Arial Narrow"/>
          <w:sz w:val="28"/>
          <w:szCs w:val="28"/>
        </w:rPr>
        <w:t xml:space="preserve"> actividades formativas </w:t>
      </w:r>
      <w:r w:rsidR="009127F6" w:rsidRPr="00B527B4">
        <w:rPr>
          <w:rFonts w:ascii="Arial Narrow" w:hAnsi="Arial Narrow"/>
          <w:sz w:val="28"/>
          <w:szCs w:val="28"/>
        </w:rPr>
        <w:t xml:space="preserve">asociadas a los sectores con mayores oportunidades de crecimiento y empleo, según se relaciona en la Estrategia Española de Activación </w:t>
      </w:r>
      <w:r w:rsidR="00B71FE3" w:rsidRPr="00B527B4">
        <w:rPr>
          <w:rFonts w:ascii="Arial Narrow" w:hAnsi="Arial Narrow"/>
          <w:sz w:val="28"/>
          <w:szCs w:val="28"/>
        </w:rPr>
        <w:t>para el Empleo, de ellos, cerca del 90% en aquellos sectores que ha</w:t>
      </w:r>
      <w:r w:rsidR="007303E0" w:rsidRPr="00B527B4">
        <w:rPr>
          <w:rFonts w:ascii="Arial Narrow" w:hAnsi="Arial Narrow"/>
          <w:sz w:val="28"/>
          <w:szCs w:val="28"/>
        </w:rPr>
        <w:t>n resistido la crisis y muestran</w:t>
      </w:r>
      <w:r w:rsidR="00B71FE3" w:rsidRPr="00B527B4">
        <w:rPr>
          <w:rFonts w:ascii="Arial Narrow" w:hAnsi="Arial Narrow"/>
          <w:sz w:val="28"/>
          <w:szCs w:val="28"/>
        </w:rPr>
        <w:t xml:space="preserve"> buenas perspectivas de futuro, como hostelería, turismo, sector industrial y servicios avanzados a empresas.</w:t>
      </w:r>
    </w:p>
    <w:p w:rsidR="007303E0" w:rsidRPr="00B527B4" w:rsidRDefault="007303E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Pr="00B527B4" w:rsidRDefault="00B527B4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527B4">
        <w:rPr>
          <w:rFonts w:ascii="Arial Narrow" w:hAnsi="Arial Narrow"/>
          <w:sz w:val="28"/>
          <w:szCs w:val="28"/>
        </w:rPr>
        <w:lastRenderedPageBreak/>
        <w:t>Las ayudas concedidas e</w:t>
      </w:r>
      <w:r w:rsidR="00373942">
        <w:rPr>
          <w:rFonts w:ascii="Arial Narrow" w:hAnsi="Arial Narrow"/>
          <w:sz w:val="28"/>
          <w:szCs w:val="28"/>
        </w:rPr>
        <w:t>l pasado</w:t>
      </w:r>
      <w:r w:rsidRPr="00B527B4">
        <w:rPr>
          <w:rFonts w:ascii="Arial Narrow" w:hAnsi="Arial Narrow"/>
          <w:sz w:val="28"/>
          <w:szCs w:val="28"/>
        </w:rPr>
        <w:t xml:space="preserve"> mes de julio a las EELL seleccionadas, tras recibirse las solicitudes, quedaron distribuidas así, por territorios autonómicos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4356"/>
        <w:gridCol w:w="4336"/>
      </w:tblGrid>
      <w:tr w:rsidR="00B71FE3" w:rsidTr="00B527B4">
        <w:tc>
          <w:tcPr>
            <w:tcW w:w="435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5B78A7" w:rsidRDefault="00B71FE3" w:rsidP="00B71FE3">
            <w:pPr>
              <w:pStyle w:val="Piedepgin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 xml:space="preserve">Comunidades Autónomas 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5B78A7" w:rsidRDefault="00B71FE3" w:rsidP="005B78A7">
            <w:pPr>
              <w:pStyle w:val="Piedepgina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Total de ayudas a EELL (euros)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P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>ANDALUCÍA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25.614.023,11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ARAGÓN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384.491,47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ASTURIAS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2.511.295,14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CANARIAS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2.259.626,22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CANTABRIA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1.074.731,28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CASTILLA Y LEÓN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3.648.582,02</w:t>
            </w:r>
          </w:p>
        </w:tc>
      </w:tr>
      <w:tr w:rsidR="00B71FE3" w:rsidTr="00B527B4">
        <w:tc>
          <w:tcPr>
            <w:tcW w:w="4356" w:type="dxa"/>
            <w:shd w:val="clear" w:color="auto" w:fill="D6E3BC" w:themeFill="accent3" w:themeFillTint="66"/>
          </w:tcPr>
          <w:p w:rsidR="00B71FE3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CASTILLA-LAMANCHA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B71FE3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9.667.754,33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CATALUÑA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2.253.947,65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MELILLA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446.494,25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COMUNITAT VALENCIANA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3.901.976,02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EXTREMADURA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5.381.093,72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GALICIA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9.693.870,27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MADRID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4.779.420,94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REGIÓN DE MURCIA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972A7B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2.77</w:t>
            </w:r>
            <w:r w:rsidR="00972A7B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.816,77</w:t>
            </w:r>
          </w:p>
        </w:tc>
      </w:tr>
      <w:tr w:rsidR="005B78A7" w:rsidTr="00B527B4">
        <w:tc>
          <w:tcPr>
            <w:tcW w:w="4356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PAÍS VASCO</w:t>
            </w:r>
          </w:p>
        </w:tc>
        <w:tc>
          <w:tcPr>
            <w:tcW w:w="4336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806.587,45</w:t>
            </w:r>
          </w:p>
        </w:tc>
      </w:tr>
      <w:tr w:rsidR="005B78A7" w:rsidTr="00B527B4">
        <w:tc>
          <w:tcPr>
            <w:tcW w:w="43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RIOJA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284.564,95</w:t>
            </w:r>
          </w:p>
        </w:tc>
      </w:tr>
      <w:tr w:rsidR="005B78A7" w:rsidRPr="005B78A7" w:rsidTr="00B527B4">
        <w:tc>
          <w:tcPr>
            <w:tcW w:w="4356" w:type="dxa"/>
            <w:shd w:val="clear" w:color="auto" w:fill="FABF8F" w:themeFill="accent6" w:themeFillTint="99"/>
          </w:tcPr>
          <w:p w:rsidR="005B78A7" w:rsidRPr="005B78A7" w:rsidRDefault="005B78A7" w:rsidP="00270050">
            <w:pPr>
              <w:pStyle w:val="Piedepgin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TOTAL AYUDAS A EELL</w:t>
            </w:r>
          </w:p>
        </w:tc>
        <w:tc>
          <w:tcPr>
            <w:tcW w:w="4336" w:type="dxa"/>
            <w:shd w:val="clear" w:color="auto" w:fill="FABF8F" w:themeFill="accent6" w:themeFillTint="99"/>
          </w:tcPr>
          <w:p w:rsidR="005B78A7" w:rsidRPr="005B78A7" w:rsidRDefault="005B78A7" w:rsidP="005B78A7">
            <w:pPr>
              <w:pStyle w:val="Piedepgina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75.488.275,48</w:t>
            </w:r>
          </w:p>
        </w:tc>
      </w:tr>
    </w:tbl>
    <w:p w:rsidR="00B71FE3" w:rsidRPr="005B78A7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</w:rPr>
      </w:pP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72A7B" w:rsidRPr="00B527B4" w:rsidRDefault="00B527B4" w:rsidP="00270050">
      <w:pPr>
        <w:pStyle w:val="Piedepgina"/>
        <w:ind w:left="1985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527B4">
        <w:rPr>
          <w:rFonts w:ascii="Arial Narrow" w:hAnsi="Arial Narrow"/>
          <w:color w:val="000000" w:themeColor="text1"/>
          <w:sz w:val="28"/>
          <w:szCs w:val="28"/>
        </w:rPr>
        <w:t>Las nuevas ayudas que hoy se convocan, por importe de 24,5 millones de euros, completarán los 100 millones de euros previstos en el programa de ayudas a las entidades locales para empleo juvenil en 2017, co</w:t>
      </w:r>
      <w:r w:rsidR="00373942">
        <w:rPr>
          <w:rFonts w:ascii="Arial Narrow" w:hAnsi="Arial Narrow"/>
          <w:color w:val="000000" w:themeColor="text1"/>
          <w:sz w:val="28"/>
          <w:szCs w:val="28"/>
        </w:rPr>
        <w:t>n cargo al Fondo Social Europeo, que gestiona el Ministerio de la Presidencia y para las Administraciones Territoriales.</w:t>
      </w:r>
    </w:p>
    <w:sectPr w:rsidR="00972A7B" w:rsidRPr="00B527B4" w:rsidSect="007303E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" w:right="991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B4" w:rsidRDefault="00B527B4">
      <w:r>
        <w:separator/>
      </w:r>
    </w:p>
  </w:endnote>
  <w:endnote w:type="continuationSeparator" w:id="0">
    <w:p w:rsidR="00B527B4" w:rsidRDefault="00B5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4" w:rsidRDefault="00B527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27B4" w:rsidRDefault="00B527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9378"/>
      <w:gridCol w:w="160"/>
    </w:tblGrid>
    <w:tr w:rsidR="00B527B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27B4" w:rsidRPr="009A382B" w:rsidRDefault="00B527B4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B527B4" w:rsidRDefault="00B527B4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27B4" w:rsidRDefault="00B527B4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27B4" w:rsidRDefault="00B527B4">
          <w:pPr>
            <w:spacing w:after="120"/>
            <w:ind w:left="74"/>
          </w:pPr>
        </w:p>
      </w:tc>
    </w:tr>
    <w:tr w:rsidR="00B527B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27B4" w:rsidRDefault="00B527B4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F3453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F3453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27B4" w:rsidRDefault="00B527B4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27B4" w:rsidRDefault="00B527B4"/>
      </w:tc>
    </w:tr>
  </w:tbl>
  <w:p w:rsidR="00B527B4" w:rsidRDefault="00B527B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8953"/>
      <w:gridCol w:w="1678"/>
    </w:tblGrid>
    <w:tr w:rsidR="00B527B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27B4" w:rsidRDefault="00B527B4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B527B4" w:rsidRDefault="00B527B4" w:rsidP="009A382B">
          <w:pPr>
            <w:jc w:val="center"/>
            <w:rPr>
              <w:rFonts w:ascii="Arial Narrow" w:hAnsi="Arial Narrow"/>
              <w:sz w:val="18"/>
            </w:rPr>
          </w:pPr>
        </w:p>
        <w:p w:rsidR="00B527B4" w:rsidRDefault="00B527B4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27B4" w:rsidRDefault="00B527B4">
          <w:pPr>
            <w:spacing w:after="120"/>
            <w:ind w:left="74"/>
          </w:pPr>
        </w:p>
      </w:tc>
    </w:tr>
    <w:tr w:rsidR="00B527B4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27B4" w:rsidRDefault="00B527B4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F345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F3453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B527B4" w:rsidRPr="00563534" w:rsidRDefault="00B527B4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B527B4" w:rsidRPr="00563534" w:rsidRDefault="00B527B4"/>
      </w:tc>
    </w:tr>
  </w:tbl>
  <w:p w:rsidR="00B527B4" w:rsidRPr="00563534" w:rsidRDefault="00B527B4" w:rsidP="009A382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B4" w:rsidRDefault="00B527B4">
      <w:r>
        <w:separator/>
      </w:r>
    </w:p>
  </w:footnote>
  <w:footnote w:type="continuationSeparator" w:id="0">
    <w:p w:rsidR="00B527B4" w:rsidRDefault="00B5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B527B4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B527B4" w:rsidRDefault="00B527B4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B527B4" w:rsidRDefault="00B527B4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B527B4">
      <w:trPr>
        <w:cantSplit/>
        <w:trHeight w:val="40"/>
      </w:trPr>
      <w:tc>
        <w:tcPr>
          <w:tcW w:w="1346" w:type="dxa"/>
          <w:vMerge/>
        </w:tcPr>
        <w:p w:rsidR="00B527B4" w:rsidRDefault="00B527B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B527B4" w:rsidRDefault="00B527B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B527B4" w:rsidRDefault="00B527B4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B527B4" w:rsidRDefault="00B527B4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4" w:rsidRDefault="00B527B4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B527B4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B527B4" w:rsidRDefault="00B527B4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57pt;height:59.4pt" o:ole="" fillcolor="window">
                <v:imagedata r:id="rId1" o:title=""/>
              </v:shape>
              <o:OLEObject Type="Embed" ProgID="Word.Picture.8" ShapeID="_x0000_i1028" DrawAspect="Content" ObjectID="_1565510662" r:id="rId2"/>
            </w:object>
          </w:r>
        </w:p>
      </w:tc>
      <w:tc>
        <w:tcPr>
          <w:tcW w:w="7584" w:type="dxa"/>
          <w:vMerge w:val="restart"/>
        </w:tcPr>
        <w:p w:rsidR="00B527B4" w:rsidRDefault="00B527B4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B527B4" w:rsidRDefault="00B527B4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B527B4" w:rsidRDefault="00B527B4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B527B4" w:rsidRDefault="00B527B4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B527B4" w:rsidRDefault="00B527B4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B527B4">
      <w:trPr>
        <w:cantSplit/>
        <w:trHeight w:val="40"/>
      </w:trPr>
      <w:tc>
        <w:tcPr>
          <w:tcW w:w="1346" w:type="dxa"/>
          <w:vMerge/>
        </w:tcPr>
        <w:p w:rsidR="00B527B4" w:rsidRDefault="00B527B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B527B4" w:rsidRDefault="00B527B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B527B4" w:rsidRDefault="00B527B4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B527B4" w:rsidRDefault="00B527B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527B4" w:rsidRDefault="00B527B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numPicBullet w:numPicBulletId="1">
    <w:pict>
      <v:shape id="_x0000_i1070" type="#_x0000_t75" style="width:3in;height:3in" o:bullet="t"/>
    </w:pict>
  </w:numPicBullet>
  <w:numPicBullet w:numPicBulletId="2">
    <w:pict>
      <v:shape id="_x0000_i107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1A7FDB"/>
    <w:multiLevelType w:val="hybridMultilevel"/>
    <w:tmpl w:val="A6B04D36"/>
    <w:lvl w:ilvl="0" w:tplc="0C0A0017">
      <w:start w:val="1"/>
      <w:numFmt w:val="lowerLetter"/>
      <w:lvlText w:val="%1)"/>
      <w:lvlJc w:val="left"/>
      <w:pPr>
        <w:ind w:left="2988" w:hanging="360"/>
      </w:pPr>
    </w:lvl>
    <w:lvl w:ilvl="1" w:tplc="0C0A0019" w:tentative="1">
      <w:start w:val="1"/>
      <w:numFmt w:val="lowerLetter"/>
      <w:lvlText w:val="%2."/>
      <w:lvlJc w:val="left"/>
      <w:pPr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3">
    <w:nsid w:val="05C50CC3"/>
    <w:multiLevelType w:val="hybridMultilevel"/>
    <w:tmpl w:val="98EC22F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2CE258C"/>
    <w:multiLevelType w:val="hybridMultilevel"/>
    <w:tmpl w:val="65EC8FF6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1D638B6"/>
    <w:multiLevelType w:val="hybridMultilevel"/>
    <w:tmpl w:val="D190FB18"/>
    <w:lvl w:ilvl="0" w:tplc="74A2EC82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2392F7A"/>
    <w:multiLevelType w:val="hybridMultilevel"/>
    <w:tmpl w:val="207A369C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2D4B575D"/>
    <w:multiLevelType w:val="hybridMultilevel"/>
    <w:tmpl w:val="8E5278C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9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>
    <w:nsid w:val="3A6C1422"/>
    <w:multiLevelType w:val="hybridMultilevel"/>
    <w:tmpl w:val="9E10795C"/>
    <w:lvl w:ilvl="0" w:tplc="7898DBF4"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16301"/>
    <w:multiLevelType w:val="hybridMultilevel"/>
    <w:tmpl w:val="DA3A9430"/>
    <w:lvl w:ilvl="0" w:tplc="01265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5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26A56"/>
    <w:multiLevelType w:val="hybridMultilevel"/>
    <w:tmpl w:val="E5FED8D2"/>
    <w:lvl w:ilvl="0" w:tplc="01265D5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36"/>
  </w:num>
  <w:num w:numId="5">
    <w:abstractNumId w:val="0"/>
  </w:num>
  <w:num w:numId="6">
    <w:abstractNumId w:val="2"/>
  </w:num>
  <w:num w:numId="7">
    <w:abstractNumId w:val="32"/>
  </w:num>
  <w:num w:numId="8">
    <w:abstractNumId w:val="9"/>
  </w:num>
  <w:num w:numId="9">
    <w:abstractNumId w:val="11"/>
  </w:num>
  <w:num w:numId="10">
    <w:abstractNumId w:val="15"/>
  </w:num>
  <w:num w:numId="11">
    <w:abstractNumId w:val="23"/>
  </w:num>
  <w:num w:numId="12">
    <w:abstractNumId w:val="2"/>
  </w:num>
  <w:num w:numId="13">
    <w:abstractNumId w:val="10"/>
  </w:num>
  <w:num w:numId="14">
    <w:abstractNumId w:val="7"/>
  </w:num>
  <w:num w:numId="15">
    <w:abstractNumId w:val="19"/>
  </w:num>
  <w:num w:numId="16">
    <w:abstractNumId w:val="28"/>
  </w:num>
  <w:num w:numId="17">
    <w:abstractNumId w:val="8"/>
  </w:num>
  <w:num w:numId="18">
    <w:abstractNumId w:val="34"/>
  </w:num>
  <w:num w:numId="19">
    <w:abstractNumId w:val="16"/>
  </w:num>
  <w:num w:numId="20">
    <w:abstractNumId w:val="27"/>
  </w:num>
  <w:num w:numId="21">
    <w:abstractNumId w:val="35"/>
  </w:num>
  <w:num w:numId="22">
    <w:abstractNumId w:val="29"/>
  </w:num>
  <w:num w:numId="23">
    <w:abstractNumId w:val="26"/>
  </w:num>
  <w:num w:numId="24">
    <w:abstractNumId w:val="25"/>
  </w:num>
  <w:num w:numId="25">
    <w:abstractNumId w:val="30"/>
  </w:num>
  <w:num w:numId="26">
    <w:abstractNumId w:val="21"/>
  </w:num>
  <w:num w:numId="27">
    <w:abstractNumId w:val="31"/>
  </w:num>
  <w:num w:numId="28">
    <w:abstractNumId w:val="24"/>
  </w:num>
  <w:num w:numId="29">
    <w:abstractNumId w:val="5"/>
  </w:num>
  <w:num w:numId="30">
    <w:abstractNumId w:val="33"/>
  </w:num>
  <w:num w:numId="31">
    <w:abstractNumId w:val="4"/>
  </w:num>
  <w:num w:numId="32">
    <w:abstractNumId w:val="38"/>
  </w:num>
  <w:num w:numId="33">
    <w:abstractNumId w:val="3"/>
  </w:num>
  <w:num w:numId="34">
    <w:abstractNumId w:val="13"/>
  </w:num>
  <w:num w:numId="35">
    <w:abstractNumId w:val="37"/>
  </w:num>
  <w:num w:numId="36">
    <w:abstractNumId w:val="14"/>
  </w:num>
  <w:num w:numId="37">
    <w:abstractNumId w:val="17"/>
  </w:num>
  <w:num w:numId="38">
    <w:abstractNumId w:val="20"/>
  </w:num>
  <w:num w:numId="39">
    <w:abstractNumId w:val="2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0854"/>
    <w:rsid w:val="00000E4A"/>
    <w:rsid w:val="00007BF4"/>
    <w:rsid w:val="000128D4"/>
    <w:rsid w:val="000236E7"/>
    <w:rsid w:val="000253A7"/>
    <w:rsid w:val="00025FD2"/>
    <w:rsid w:val="00027FA1"/>
    <w:rsid w:val="000322B2"/>
    <w:rsid w:val="000327FE"/>
    <w:rsid w:val="00035376"/>
    <w:rsid w:val="0003615A"/>
    <w:rsid w:val="00042942"/>
    <w:rsid w:val="0005265F"/>
    <w:rsid w:val="00071994"/>
    <w:rsid w:val="000757B9"/>
    <w:rsid w:val="00076198"/>
    <w:rsid w:val="00084D06"/>
    <w:rsid w:val="00093112"/>
    <w:rsid w:val="000A335B"/>
    <w:rsid w:val="000A7BEA"/>
    <w:rsid w:val="000C1117"/>
    <w:rsid w:val="000C5A3B"/>
    <w:rsid w:val="000C7FA0"/>
    <w:rsid w:val="000D1A2A"/>
    <w:rsid w:val="000E1C2A"/>
    <w:rsid w:val="000E2AD6"/>
    <w:rsid w:val="000E5254"/>
    <w:rsid w:val="000E65B4"/>
    <w:rsid w:val="000F0476"/>
    <w:rsid w:val="000F15DD"/>
    <w:rsid w:val="000F5E41"/>
    <w:rsid w:val="00103EB4"/>
    <w:rsid w:val="0010678B"/>
    <w:rsid w:val="00110187"/>
    <w:rsid w:val="00122227"/>
    <w:rsid w:val="00123456"/>
    <w:rsid w:val="00134A12"/>
    <w:rsid w:val="001407A2"/>
    <w:rsid w:val="00153EFF"/>
    <w:rsid w:val="00162BD2"/>
    <w:rsid w:val="001630B7"/>
    <w:rsid w:val="001778F0"/>
    <w:rsid w:val="00181D0C"/>
    <w:rsid w:val="0019632B"/>
    <w:rsid w:val="001964EB"/>
    <w:rsid w:val="00197768"/>
    <w:rsid w:val="001A1444"/>
    <w:rsid w:val="001A33CB"/>
    <w:rsid w:val="001A4BA9"/>
    <w:rsid w:val="001B199C"/>
    <w:rsid w:val="001B64DE"/>
    <w:rsid w:val="001C41A3"/>
    <w:rsid w:val="001C4679"/>
    <w:rsid w:val="001C532F"/>
    <w:rsid w:val="001C6091"/>
    <w:rsid w:val="001D12ED"/>
    <w:rsid w:val="001D4682"/>
    <w:rsid w:val="001E1548"/>
    <w:rsid w:val="001E30DE"/>
    <w:rsid w:val="001E4D95"/>
    <w:rsid w:val="001F1985"/>
    <w:rsid w:val="001F3453"/>
    <w:rsid w:val="002024A4"/>
    <w:rsid w:val="00207791"/>
    <w:rsid w:val="00207F5D"/>
    <w:rsid w:val="0021516E"/>
    <w:rsid w:val="00223E48"/>
    <w:rsid w:val="002262E0"/>
    <w:rsid w:val="0023679A"/>
    <w:rsid w:val="00236989"/>
    <w:rsid w:val="002412DD"/>
    <w:rsid w:val="002421FC"/>
    <w:rsid w:val="0024264F"/>
    <w:rsid w:val="00243167"/>
    <w:rsid w:val="00244954"/>
    <w:rsid w:val="00244C9C"/>
    <w:rsid w:val="00247E66"/>
    <w:rsid w:val="00256ECC"/>
    <w:rsid w:val="00261E77"/>
    <w:rsid w:val="00263A9E"/>
    <w:rsid w:val="00270050"/>
    <w:rsid w:val="00281B2E"/>
    <w:rsid w:val="002A2626"/>
    <w:rsid w:val="002A27E8"/>
    <w:rsid w:val="002A319D"/>
    <w:rsid w:val="002A551E"/>
    <w:rsid w:val="002B3FD8"/>
    <w:rsid w:val="002B58AE"/>
    <w:rsid w:val="002C4EFC"/>
    <w:rsid w:val="002C5A88"/>
    <w:rsid w:val="002D4F59"/>
    <w:rsid w:val="002E63D4"/>
    <w:rsid w:val="002E7C5F"/>
    <w:rsid w:val="002F0AE6"/>
    <w:rsid w:val="002F3004"/>
    <w:rsid w:val="002F42A1"/>
    <w:rsid w:val="003020F4"/>
    <w:rsid w:val="003024CC"/>
    <w:rsid w:val="00302642"/>
    <w:rsid w:val="003061A2"/>
    <w:rsid w:val="003118F7"/>
    <w:rsid w:val="00311D1C"/>
    <w:rsid w:val="003140BC"/>
    <w:rsid w:val="00322582"/>
    <w:rsid w:val="00327858"/>
    <w:rsid w:val="00344E15"/>
    <w:rsid w:val="00353F88"/>
    <w:rsid w:val="00357B64"/>
    <w:rsid w:val="0036403A"/>
    <w:rsid w:val="003708A9"/>
    <w:rsid w:val="00373942"/>
    <w:rsid w:val="0038041D"/>
    <w:rsid w:val="00391C0A"/>
    <w:rsid w:val="003A0090"/>
    <w:rsid w:val="003A06DC"/>
    <w:rsid w:val="003B524B"/>
    <w:rsid w:val="003C1A69"/>
    <w:rsid w:val="003E1C05"/>
    <w:rsid w:val="003F6CF4"/>
    <w:rsid w:val="00400E1F"/>
    <w:rsid w:val="00412903"/>
    <w:rsid w:val="00421BEA"/>
    <w:rsid w:val="00440100"/>
    <w:rsid w:val="00457FC0"/>
    <w:rsid w:val="0046471D"/>
    <w:rsid w:val="004656EE"/>
    <w:rsid w:val="0046637B"/>
    <w:rsid w:val="004921A5"/>
    <w:rsid w:val="0049543F"/>
    <w:rsid w:val="004C13E6"/>
    <w:rsid w:val="004C5C74"/>
    <w:rsid w:val="004C667C"/>
    <w:rsid w:val="004D06B4"/>
    <w:rsid w:val="004D22C4"/>
    <w:rsid w:val="004D3E2C"/>
    <w:rsid w:val="00500E8F"/>
    <w:rsid w:val="005035A9"/>
    <w:rsid w:val="0051245C"/>
    <w:rsid w:val="005179EB"/>
    <w:rsid w:val="00535D1B"/>
    <w:rsid w:val="00540499"/>
    <w:rsid w:val="005413C8"/>
    <w:rsid w:val="0054140D"/>
    <w:rsid w:val="00563534"/>
    <w:rsid w:val="005639D1"/>
    <w:rsid w:val="00565B29"/>
    <w:rsid w:val="00565B42"/>
    <w:rsid w:val="0057406C"/>
    <w:rsid w:val="00574754"/>
    <w:rsid w:val="005945F6"/>
    <w:rsid w:val="005979F4"/>
    <w:rsid w:val="005A6181"/>
    <w:rsid w:val="005B10DC"/>
    <w:rsid w:val="005B2EDF"/>
    <w:rsid w:val="005B78A7"/>
    <w:rsid w:val="005C2BDB"/>
    <w:rsid w:val="005C370C"/>
    <w:rsid w:val="005C67F2"/>
    <w:rsid w:val="005E23F0"/>
    <w:rsid w:val="005E359D"/>
    <w:rsid w:val="005E5D1E"/>
    <w:rsid w:val="005F3504"/>
    <w:rsid w:val="005F531E"/>
    <w:rsid w:val="00605ABA"/>
    <w:rsid w:val="00606050"/>
    <w:rsid w:val="00606058"/>
    <w:rsid w:val="006074C6"/>
    <w:rsid w:val="00611D3A"/>
    <w:rsid w:val="00624D9C"/>
    <w:rsid w:val="00625D56"/>
    <w:rsid w:val="00637899"/>
    <w:rsid w:val="00640B57"/>
    <w:rsid w:val="00640E5E"/>
    <w:rsid w:val="00645A91"/>
    <w:rsid w:val="0066570B"/>
    <w:rsid w:val="00667EE8"/>
    <w:rsid w:val="006842EC"/>
    <w:rsid w:val="006A1714"/>
    <w:rsid w:val="006A3F30"/>
    <w:rsid w:val="006A5F53"/>
    <w:rsid w:val="006A7DBB"/>
    <w:rsid w:val="006C0F7F"/>
    <w:rsid w:val="006C14D9"/>
    <w:rsid w:val="006C7E93"/>
    <w:rsid w:val="006D4598"/>
    <w:rsid w:val="006E2089"/>
    <w:rsid w:val="006F0529"/>
    <w:rsid w:val="00704CC9"/>
    <w:rsid w:val="0070663F"/>
    <w:rsid w:val="00716DE7"/>
    <w:rsid w:val="00720F0D"/>
    <w:rsid w:val="00722701"/>
    <w:rsid w:val="007303E0"/>
    <w:rsid w:val="00732210"/>
    <w:rsid w:val="00735798"/>
    <w:rsid w:val="00735A85"/>
    <w:rsid w:val="0073681D"/>
    <w:rsid w:val="00736BF9"/>
    <w:rsid w:val="00743BCE"/>
    <w:rsid w:val="00745DD4"/>
    <w:rsid w:val="00746B91"/>
    <w:rsid w:val="0075241F"/>
    <w:rsid w:val="007567FD"/>
    <w:rsid w:val="00757D74"/>
    <w:rsid w:val="00767109"/>
    <w:rsid w:val="007725EC"/>
    <w:rsid w:val="00774547"/>
    <w:rsid w:val="0077464B"/>
    <w:rsid w:val="00777DAA"/>
    <w:rsid w:val="00793B9E"/>
    <w:rsid w:val="00795D69"/>
    <w:rsid w:val="007C586E"/>
    <w:rsid w:val="007D1340"/>
    <w:rsid w:val="007D35ED"/>
    <w:rsid w:val="007D7FB0"/>
    <w:rsid w:val="007F555D"/>
    <w:rsid w:val="00810BF1"/>
    <w:rsid w:val="00813F4A"/>
    <w:rsid w:val="00814F1E"/>
    <w:rsid w:val="00817FFE"/>
    <w:rsid w:val="00820F6F"/>
    <w:rsid w:val="00831807"/>
    <w:rsid w:val="00836D42"/>
    <w:rsid w:val="00837699"/>
    <w:rsid w:val="00845339"/>
    <w:rsid w:val="00846B86"/>
    <w:rsid w:val="0085155F"/>
    <w:rsid w:val="00861B9B"/>
    <w:rsid w:val="00870FC2"/>
    <w:rsid w:val="00873C47"/>
    <w:rsid w:val="0089123E"/>
    <w:rsid w:val="0089127E"/>
    <w:rsid w:val="008A5360"/>
    <w:rsid w:val="008A68DE"/>
    <w:rsid w:val="008B4788"/>
    <w:rsid w:val="008B5F37"/>
    <w:rsid w:val="008B6A31"/>
    <w:rsid w:val="008C433C"/>
    <w:rsid w:val="008C593F"/>
    <w:rsid w:val="008E5658"/>
    <w:rsid w:val="008F3950"/>
    <w:rsid w:val="00901A78"/>
    <w:rsid w:val="0090432C"/>
    <w:rsid w:val="009127F6"/>
    <w:rsid w:val="00916DB0"/>
    <w:rsid w:val="00921625"/>
    <w:rsid w:val="0092196A"/>
    <w:rsid w:val="00922842"/>
    <w:rsid w:val="00923914"/>
    <w:rsid w:val="00931B78"/>
    <w:rsid w:val="009351C6"/>
    <w:rsid w:val="009429BA"/>
    <w:rsid w:val="00944220"/>
    <w:rsid w:val="0094536A"/>
    <w:rsid w:val="009510DC"/>
    <w:rsid w:val="00966761"/>
    <w:rsid w:val="00972A7B"/>
    <w:rsid w:val="0097380E"/>
    <w:rsid w:val="009774E2"/>
    <w:rsid w:val="00991E74"/>
    <w:rsid w:val="00997C5F"/>
    <w:rsid w:val="00997EBC"/>
    <w:rsid w:val="009A382B"/>
    <w:rsid w:val="009C1BBD"/>
    <w:rsid w:val="009C6577"/>
    <w:rsid w:val="009D254B"/>
    <w:rsid w:val="009D5E9E"/>
    <w:rsid w:val="009D7A04"/>
    <w:rsid w:val="009E2E4C"/>
    <w:rsid w:val="009E4934"/>
    <w:rsid w:val="00A03410"/>
    <w:rsid w:val="00A0758E"/>
    <w:rsid w:val="00A156D6"/>
    <w:rsid w:val="00A15B16"/>
    <w:rsid w:val="00A40C7B"/>
    <w:rsid w:val="00A567E7"/>
    <w:rsid w:val="00A65ADD"/>
    <w:rsid w:val="00A6664C"/>
    <w:rsid w:val="00A71FCC"/>
    <w:rsid w:val="00A74D90"/>
    <w:rsid w:val="00A80EEE"/>
    <w:rsid w:val="00A8386E"/>
    <w:rsid w:val="00A8389A"/>
    <w:rsid w:val="00AA083D"/>
    <w:rsid w:val="00AA2D22"/>
    <w:rsid w:val="00AA37F8"/>
    <w:rsid w:val="00AB566B"/>
    <w:rsid w:val="00AB72EA"/>
    <w:rsid w:val="00AE303F"/>
    <w:rsid w:val="00B107C7"/>
    <w:rsid w:val="00B1227E"/>
    <w:rsid w:val="00B16649"/>
    <w:rsid w:val="00B26D35"/>
    <w:rsid w:val="00B4057B"/>
    <w:rsid w:val="00B50FF9"/>
    <w:rsid w:val="00B51910"/>
    <w:rsid w:val="00B527B4"/>
    <w:rsid w:val="00B530E9"/>
    <w:rsid w:val="00B64015"/>
    <w:rsid w:val="00B71CF5"/>
    <w:rsid w:val="00B71FE3"/>
    <w:rsid w:val="00B8050F"/>
    <w:rsid w:val="00B81427"/>
    <w:rsid w:val="00B81B0B"/>
    <w:rsid w:val="00B8330C"/>
    <w:rsid w:val="00B86B3D"/>
    <w:rsid w:val="00B86BB3"/>
    <w:rsid w:val="00B97342"/>
    <w:rsid w:val="00BA2961"/>
    <w:rsid w:val="00BC1E4C"/>
    <w:rsid w:val="00BC5471"/>
    <w:rsid w:val="00BC5D55"/>
    <w:rsid w:val="00BD4767"/>
    <w:rsid w:val="00BE3384"/>
    <w:rsid w:val="00BF1027"/>
    <w:rsid w:val="00BF1296"/>
    <w:rsid w:val="00C0137C"/>
    <w:rsid w:val="00C03F04"/>
    <w:rsid w:val="00C1021F"/>
    <w:rsid w:val="00C10DDF"/>
    <w:rsid w:val="00C13155"/>
    <w:rsid w:val="00C1760F"/>
    <w:rsid w:val="00C17A1E"/>
    <w:rsid w:val="00C207F2"/>
    <w:rsid w:val="00C23992"/>
    <w:rsid w:val="00C24429"/>
    <w:rsid w:val="00C267F6"/>
    <w:rsid w:val="00C343A9"/>
    <w:rsid w:val="00C432BB"/>
    <w:rsid w:val="00C44FE6"/>
    <w:rsid w:val="00C501AE"/>
    <w:rsid w:val="00C54C70"/>
    <w:rsid w:val="00C56417"/>
    <w:rsid w:val="00C62A17"/>
    <w:rsid w:val="00C6591F"/>
    <w:rsid w:val="00C73A7A"/>
    <w:rsid w:val="00C73EF2"/>
    <w:rsid w:val="00C9522E"/>
    <w:rsid w:val="00CA073A"/>
    <w:rsid w:val="00CB149A"/>
    <w:rsid w:val="00CC359B"/>
    <w:rsid w:val="00CD4CC5"/>
    <w:rsid w:val="00CD5292"/>
    <w:rsid w:val="00CE3691"/>
    <w:rsid w:val="00CE4810"/>
    <w:rsid w:val="00CF165B"/>
    <w:rsid w:val="00CF609F"/>
    <w:rsid w:val="00D00764"/>
    <w:rsid w:val="00D07E80"/>
    <w:rsid w:val="00D1435E"/>
    <w:rsid w:val="00D17993"/>
    <w:rsid w:val="00D23013"/>
    <w:rsid w:val="00D3080E"/>
    <w:rsid w:val="00D31CEC"/>
    <w:rsid w:val="00D41B9E"/>
    <w:rsid w:val="00D42800"/>
    <w:rsid w:val="00D51F9E"/>
    <w:rsid w:val="00D5402A"/>
    <w:rsid w:val="00D5446A"/>
    <w:rsid w:val="00D8472E"/>
    <w:rsid w:val="00D857E9"/>
    <w:rsid w:val="00D94642"/>
    <w:rsid w:val="00DB0CC3"/>
    <w:rsid w:val="00DB27E1"/>
    <w:rsid w:val="00DC1CAA"/>
    <w:rsid w:val="00DC5D8F"/>
    <w:rsid w:val="00E01D40"/>
    <w:rsid w:val="00E03EDC"/>
    <w:rsid w:val="00E14AC9"/>
    <w:rsid w:val="00E2208F"/>
    <w:rsid w:val="00E23CFE"/>
    <w:rsid w:val="00E33B3F"/>
    <w:rsid w:val="00E404CC"/>
    <w:rsid w:val="00E435CF"/>
    <w:rsid w:val="00E43FFF"/>
    <w:rsid w:val="00E52961"/>
    <w:rsid w:val="00E551C0"/>
    <w:rsid w:val="00E55E80"/>
    <w:rsid w:val="00E64686"/>
    <w:rsid w:val="00E66000"/>
    <w:rsid w:val="00E71AAF"/>
    <w:rsid w:val="00E71DC1"/>
    <w:rsid w:val="00E76BF4"/>
    <w:rsid w:val="00E80573"/>
    <w:rsid w:val="00E90278"/>
    <w:rsid w:val="00E917F9"/>
    <w:rsid w:val="00EA03AF"/>
    <w:rsid w:val="00EA6868"/>
    <w:rsid w:val="00EB0BCB"/>
    <w:rsid w:val="00EB36D9"/>
    <w:rsid w:val="00EB638A"/>
    <w:rsid w:val="00EC5193"/>
    <w:rsid w:val="00ED68AD"/>
    <w:rsid w:val="00EE2A3D"/>
    <w:rsid w:val="00EE2F42"/>
    <w:rsid w:val="00EE6407"/>
    <w:rsid w:val="00EE677C"/>
    <w:rsid w:val="00F01114"/>
    <w:rsid w:val="00F0633A"/>
    <w:rsid w:val="00F1091A"/>
    <w:rsid w:val="00F27AA1"/>
    <w:rsid w:val="00F4155E"/>
    <w:rsid w:val="00F54ED2"/>
    <w:rsid w:val="00F55494"/>
    <w:rsid w:val="00F570C2"/>
    <w:rsid w:val="00F64C3B"/>
    <w:rsid w:val="00F66E74"/>
    <w:rsid w:val="00F73544"/>
    <w:rsid w:val="00F738DA"/>
    <w:rsid w:val="00F74924"/>
    <w:rsid w:val="00F84627"/>
    <w:rsid w:val="00F85683"/>
    <w:rsid w:val="00F85F90"/>
    <w:rsid w:val="00F93F57"/>
    <w:rsid w:val="00F9426E"/>
    <w:rsid w:val="00F94BF8"/>
    <w:rsid w:val="00FA18B2"/>
    <w:rsid w:val="00FB13FB"/>
    <w:rsid w:val="00FD02C3"/>
    <w:rsid w:val="00FE02A6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  <w:style w:type="table" w:styleId="Tablaconcuadrcula">
    <w:name w:val="Table Grid"/>
    <w:basedOn w:val="Tablanormal"/>
    <w:rsid w:val="00B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  <w:style w:type="table" w:styleId="Tablaconcuadrcula">
    <w:name w:val="Table Grid"/>
    <w:basedOn w:val="Tablanormal"/>
    <w:rsid w:val="00B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91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at.mpr.gob.es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7EAE-D650-42B7-AE1C-FBEB90D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0</TotalTime>
  <Pages>3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4852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2017-07-17T11:53:00Z</cp:lastPrinted>
  <dcterms:created xsi:type="dcterms:W3CDTF">2017-08-29T09:18:00Z</dcterms:created>
  <dcterms:modified xsi:type="dcterms:W3CDTF">2017-08-29T09:18:00Z</dcterms:modified>
</cp:coreProperties>
</file>