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08" w:rsidRDefault="00253C21" w:rsidP="002161E5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  <w:r>
        <w:rPr>
          <w:rFonts w:ascii="Arial Narrow" w:hAnsi="Arial Narrow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8120E" wp14:editId="52196B04">
                <wp:simplePos x="0" y="0"/>
                <wp:positionH relativeFrom="column">
                  <wp:posOffset>-78105</wp:posOffset>
                </wp:positionH>
                <wp:positionV relativeFrom="paragraph">
                  <wp:posOffset>-1077152</wp:posOffset>
                </wp:positionV>
                <wp:extent cx="800100" cy="6802294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02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DB" w:rsidRDefault="009971DB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 w:rsidR="005343E9">
                              <w:rPr>
                                <w:color w:val="999999"/>
                              </w:rPr>
                              <w:t xml:space="preserve">            N</w:t>
                            </w:r>
                            <w:r w:rsidR="00A92799">
                              <w:rPr>
                                <w:color w:val="999999"/>
                              </w:rPr>
                              <w:t>o</w:t>
                            </w:r>
                            <w:r w:rsidR="005343E9">
                              <w:rPr>
                                <w:color w:val="999999"/>
                              </w:rPr>
                              <w:t>ta</w:t>
                            </w:r>
                            <w:r w:rsidR="003D266E">
                              <w:rPr>
                                <w:color w:val="999999"/>
                              </w:rPr>
                              <w:t xml:space="preserve"> de</w:t>
                            </w:r>
                            <w:r>
                              <w:rPr>
                                <w:color w:val="999999"/>
                              </w:rPr>
                              <w:t xml:space="preserve"> Prensa </w:t>
                            </w:r>
                            <w:proofErr w:type="spellStart"/>
                            <w:r>
                              <w:rPr>
                                <w:color w:val="999999"/>
                              </w:rPr>
                              <w:t>PrensaPrensaComunicado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15pt;margin-top:-84.8pt;width:63pt;height:5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" filled="f" stroked="f">
                <v:textbox style="layout-flow:vertical;mso-layout-flow-alt:bottom-to-top">
                  <w:txbxContent>
                    <w:p w:rsidR="009971DB" w:rsidRDefault="009971DB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</w:t>
                      </w:r>
                      <w:r w:rsidR="005343E9">
                        <w:rPr>
                          <w:color w:val="999999"/>
                        </w:rPr>
                        <w:t xml:space="preserve">            N</w:t>
                      </w:r>
                      <w:r w:rsidR="00A92799">
                        <w:rPr>
                          <w:color w:val="999999"/>
                        </w:rPr>
                        <w:t>o</w:t>
                      </w:r>
                      <w:r w:rsidR="005343E9">
                        <w:rPr>
                          <w:color w:val="999999"/>
                        </w:rPr>
                        <w:t>ta</w:t>
                      </w:r>
                      <w:r w:rsidR="003D266E">
                        <w:rPr>
                          <w:color w:val="999999"/>
                        </w:rPr>
                        <w:t xml:space="preserve"> de</w:t>
                      </w:r>
                      <w:r>
                        <w:rPr>
                          <w:color w:val="999999"/>
                        </w:rPr>
                        <w:t xml:space="preserve"> Prensa </w:t>
                      </w:r>
                      <w:proofErr w:type="spellStart"/>
                      <w:r>
                        <w:rPr>
                          <w:color w:val="999999"/>
                        </w:rPr>
                        <w:t>PrensaPrensaComunicado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502E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                       </w:t>
      </w:r>
      <w:r w:rsidR="00F00EDD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</w:t>
      </w:r>
    </w:p>
    <w:p w:rsid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BC1BAB" w:rsidP="00AD02FD">
      <w:pPr>
        <w:pStyle w:val="Piedepgina"/>
        <w:ind w:left="2127"/>
        <w:rPr>
          <w:rFonts w:ascii="Arial Narrow" w:hAnsi="Arial Narrow"/>
          <w:b/>
          <w:noProof/>
          <w:sz w:val="48"/>
          <w:szCs w:val="48"/>
          <w:lang w:val="es-ES"/>
        </w:rPr>
      </w:pPr>
      <w:r w:rsidRPr="00BC1BAB">
        <w:rPr>
          <w:rFonts w:ascii="Arial Narrow" w:hAnsi="Arial Narrow"/>
          <w:b/>
          <w:noProof/>
          <w:sz w:val="48"/>
          <w:szCs w:val="48"/>
          <w:lang w:val="es-ES"/>
        </w:rPr>
        <w:t>Meritxell Batet preside la constitución del Grupo Interministerial para la Estrategia Nacional frente al Reto Demográfico</w:t>
      </w:r>
    </w:p>
    <w:p w:rsidR="00BC1BAB" w:rsidRDefault="00BC1BAB" w:rsidP="00AD02FD">
      <w:pPr>
        <w:pStyle w:val="Piedepgina"/>
        <w:ind w:left="2127"/>
        <w:rPr>
          <w:rFonts w:ascii="Arial Narrow" w:hAnsi="Arial Narrow"/>
          <w:b/>
          <w:noProof/>
          <w:sz w:val="48"/>
          <w:szCs w:val="48"/>
          <w:lang w:val="es-ES"/>
        </w:rPr>
      </w:pPr>
    </w:p>
    <w:p w:rsidR="00BC1BAB" w:rsidRDefault="00BC1BAB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Madrid, 24 de septiembre de 2018.- </w:t>
      </w:r>
      <w:r w:rsidRPr="00BC1BAB">
        <w:rPr>
          <w:rFonts w:ascii="Arial Narrow" w:hAnsi="Arial Narrow"/>
          <w:noProof/>
          <w:sz w:val="28"/>
          <w:szCs w:val="28"/>
          <w:lang w:val="es-ES"/>
        </w:rPr>
        <w:t xml:space="preserve">La ministra de Política Territorial y Función Pública, Meritxell Batet, </w:t>
      </w:r>
      <w:r>
        <w:rPr>
          <w:rFonts w:ascii="Arial Narrow" w:hAnsi="Arial Narrow"/>
          <w:noProof/>
          <w:sz w:val="28"/>
          <w:szCs w:val="28"/>
          <w:lang w:val="es-ES"/>
        </w:rPr>
        <w:t xml:space="preserve">ha presidido, junto a la comisionada del Gobierno frente al Reto Demográfico, Isaura Leal, la constitución del Grupo Interministerial para la elaboración de la Estrategia Nacional frente al Reto Demográfico, en </w:t>
      </w:r>
      <w:r w:rsidR="00042B62">
        <w:rPr>
          <w:rFonts w:ascii="Arial Narrow" w:hAnsi="Arial Narrow"/>
          <w:noProof/>
          <w:sz w:val="28"/>
          <w:szCs w:val="28"/>
          <w:lang w:val="es-ES"/>
        </w:rPr>
        <w:t>el</w:t>
      </w:r>
      <w:r>
        <w:rPr>
          <w:rFonts w:ascii="Arial Narrow" w:hAnsi="Arial Narrow"/>
          <w:noProof/>
          <w:sz w:val="28"/>
          <w:szCs w:val="28"/>
          <w:lang w:val="es-ES"/>
        </w:rPr>
        <w:t xml:space="preserve"> que están representados todos los departamentos ministeriales.</w:t>
      </w:r>
    </w:p>
    <w:p w:rsidR="00BC1BAB" w:rsidRDefault="00BC1BAB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BC1BAB" w:rsidRPr="002C075B" w:rsidRDefault="00BC1BAB" w:rsidP="00BC1BAB">
      <w:pPr>
        <w:pStyle w:val="Piedepgina"/>
        <w:ind w:left="2127"/>
        <w:jc w:val="both"/>
        <w:rPr>
          <w:rFonts w:ascii="Arial Narrow" w:hAnsi="Arial Narrow"/>
          <w:i/>
          <w:noProof/>
          <w:sz w:val="28"/>
          <w:szCs w:val="28"/>
          <w:lang w:val="es-ES"/>
        </w:rPr>
      </w:pPr>
      <w:r>
        <w:rPr>
          <w:rFonts w:ascii="Arial Narrow" w:hAnsi="Arial Narrow"/>
          <w:noProof/>
          <w:sz w:val="28"/>
          <w:szCs w:val="28"/>
          <w:lang w:val="es-ES"/>
        </w:rPr>
        <w:t xml:space="preserve">La ministra ha destacado a los representantes ministeriales que </w:t>
      </w:r>
      <w:r w:rsidR="002C075B" w:rsidRPr="002C075B">
        <w:rPr>
          <w:rFonts w:ascii="Arial Narrow" w:hAnsi="Arial Narrow"/>
          <w:i/>
          <w:noProof/>
          <w:sz w:val="28"/>
          <w:szCs w:val="28"/>
          <w:lang w:val="es-ES"/>
        </w:rPr>
        <w:t>“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>este Gobierno</w:t>
      </w:r>
      <w:r>
        <w:rPr>
          <w:rFonts w:ascii="Arial Narrow" w:hAnsi="Arial Narrow"/>
          <w:noProof/>
          <w:sz w:val="28"/>
          <w:szCs w:val="28"/>
          <w:lang w:val="es-ES"/>
        </w:rPr>
        <w:t xml:space="preserve"> 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>va  a orientar la Estrategia en las personas, para garantizar la igualdad efectiva en el acceso a los servicios y públicos y al ejercico de los derechos sociales y</w:t>
      </w:r>
      <w:r w:rsidR="00042B62">
        <w:rPr>
          <w:rFonts w:ascii="Arial Narrow" w:hAnsi="Arial Narrow"/>
          <w:i/>
          <w:noProof/>
          <w:sz w:val="28"/>
          <w:szCs w:val="28"/>
          <w:lang w:val="es-ES"/>
        </w:rPr>
        <w:t xml:space="preserve"> 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>económicos de la ciudadanía que vive en los territorios más frágiles y afectados por los riesgos demográficos, porque la despoblación es el síntoma de una grave enfermedad que se llama desigualdad”.</w:t>
      </w:r>
    </w:p>
    <w:p w:rsidR="00CE236E" w:rsidRDefault="00CE236E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CE236E" w:rsidRPr="002C075B" w:rsidRDefault="00CE236E" w:rsidP="00BC1BAB">
      <w:pPr>
        <w:pStyle w:val="Piedepgina"/>
        <w:ind w:left="2127"/>
        <w:jc w:val="both"/>
        <w:rPr>
          <w:rFonts w:ascii="Arial Narrow" w:hAnsi="Arial Narrow"/>
          <w:i/>
          <w:noProof/>
          <w:sz w:val="28"/>
          <w:szCs w:val="28"/>
          <w:lang w:val="es-ES"/>
        </w:rPr>
      </w:pPr>
      <w:r>
        <w:rPr>
          <w:rFonts w:ascii="Arial Narrow" w:hAnsi="Arial Narrow"/>
          <w:noProof/>
          <w:sz w:val="28"/>
          <w:szCs w:val="28"/>
          <w:lang w:val="es-ES"/>
        </w:rPr>
        <w:t>La Estrategia Nacional, ha indicado la comisionada, será el resultado</w:t>
      </w:r>
      <w:r w:rsidR="002C075B">
        <w:rPr>
          <w:rFonts w:ascii="Arial Narrow" w:hAnsi="Arial Narrow"/>
          <w:noProof/>
          <w:sz w:val="28"/>
          <w:szCs w:val="28"/>
          <w:lang w:val="es-ES"/>
        </w:rPr>
        <w:t xml:space="preserve">, </w:t>
      </w:r>
      <w:r>
        <w:rPr>
          <w:rFonts w:ascii="Arial Narrow" w:hAnsi="Arial Narrow"/>
          <w:noProof/>
          <w:sz w:val="28"/>
          <w:szCs w:val="28"/>
          <w:lang w:val="es-ES"/>
        </w:rPr>
        <w:t xml:space="preserve">además de sumar las políticas de todos los departamentos ministeriales, de un amplio consenso con las comunidades autónomas y entidades locales: 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>“Un compromiso</w:t>
      </w:r>
      <w:r w:rsidR="002C075B" w:rsidRPr="002C075B">
        <w:rPr>
          <w:rFonts w:ascii="Arial Narrow" w:hAnsi="Arial Narrow"/>
          <w:i/>
          <w:noProof/>
          <w:sz w:val="28"/>
          <w:szCs w:val="28"/>
          <w:lang w:val="es-ES"/>
        </w:rPr>
        <w:t xml:space="preserve"> 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>del Gobierno que exige la implicación de todos los poderes públicos, sin que quepa el absentismo en el ejercicio de la responsabilidad y de las competencias de cada uno de los niveles de gobierno territorial”.</w:t>
      </w:r>
    </w:p>
    <w:p w:rsidR="00CE236E" w:rsidRDefault="00CE236E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CE236E" w:rsidRDefault="00CE236E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  <w:r>
        <w:rPr>
          <w:rFonts w:ascii="Arial Narrow" w:hAnsi="Arial Narrow"/>
          <w:noProof/>
          <w:sz w:val="28"/>
          <w:szCs w:val="28"/>
          <w:lang w:val="es-ES"/>
        </w:rPr>
        <w:t>Esta misma semana, la ministra y la comisionada presidirán también la constitución del grupo de trabajo con representantes de todas las comunidades autónomas y la FEMP, para consensuar las políticas frente al reto demográfico, que afecta a todos los territorios, y con el objetivo de la elaboración de la Estrategia Nacional, que sea el resultado del mayor consenso, y en la que también participarán con sus aportaciones las distintas asociaciones y colectivos de la sociedad civil implicados en ha</w:t>
      </w:r>
      <w:r w:rsidR="00042B62">
        <w:rPr>
          <w:rFonts w:ascii="Arial Narrow" w:hAnsi="Arial Narrow"/>
          <w:noProof/>
          <w:sz w:val="28"/>
          <w:szCs w:val="28"/>
          <w:lang w:val="es-ES"/>
        </w:rPr>
        <w:t>cer frente a la despoblación, e</w:t>
      </w:r>
      <w:r>
        <w:rPr>
          <w:rFonts w:ascii="Arial Narrow" w:hAnsi="Arial Narrow"/>
          <w:noProof/>
          <w:sz w:val="28"/>
          <w:szCs w:val="28"/>
          <w:lang w:val="es-ES"/>
        </w:rPr>
        <w:t>l envejecimiento</w:t>
      </w:r>
      <w:r w:rsidR="00042B62">
        <w:rPr>
          <w:rFonts w:ascii="Arial Narrow" w:hAnsi="Arial Narrow"/>
          <w:noProof/>
          <w:sz w:val="28"/>
          <w:szCs w:val="28"/>
          <w:lang w:val="es-ES"/>
        </w:rPr>
        <w:t xml:space="preserve"> y los efectos de la población flotante</w:t>
      </w:r>
      <w:r>
        <w:rPr>
          <w:rFonts w:ascii="Arial Narrow" w:hAnsi="Arial Narrow"/>
          <w:noProof/>
          <w:sz w:val="28"/>
          <w:szCs w:val="28"/>
          <w:lang w:val="es-ES"/>
        </w:rPr>
        <w:t>.</w:t>
      </w:r>
    </w:p>
    <w:p w:rsidR="00CE236E" w:rsidRDefault="00CE236E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CE236E" w:rsidRPr="002C075B" w:rsidRDefault="00CE236E" w:rsidP="00BC1BAB">
      <w:pPr>
        <w:pStyle w:val="Piedepgina"/>
        <w:ind w:left="2127"/>
        <w:jc w:val="both"/>
        <w:rPr>
          <w:rFonts w:ascii="Arial Narrow" w:hAnsi="Arial Narrow"/>
          <w:i/>
          <w:noProof/>
          <w:sz w:val="28"/>
          <w:szCs w:val="28"/>
          <w:lang w:val="es-ES"/>
        </w:rPr>
      </w:pPr>
      <w:r>
        <w:rPr>
          <w:rFonts w:ascii="Arial Narrow" w:hAnsi="Arial Narrow"/>
          <w:noProof/>
          <w:sz w:val="28"/>
          <w:szCs w:val="28"/>
          <w:lang w:val="es-ES"/>
        </w:rPr>
        <w:lastRenderedPageBreak/>
        <w:t xml:space="preserve">La comisionada ha añadido que, </w:t>
      </w:r>
      <w:r w:rsidR="002C075B" w:rsidRPr="002C075B">
        <w:rPr>
          <w:rFonts w:ascii="Arial Narrow" w:hAnsi="Arial Narrow"/>
          <w:i/>
          <w:noProof/>
          <w:sz w:val="28"/>
          <w:szCs w:val="28"/>
          <w:lang w:val="es-ES"/>
        </w:rPr>
        <w:t>“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>con la cooperación y colaboración de todas las administraciones públicas, queremos también ser un referente en el marco de la Unión E</w:t>
      </w:r>
      <w:r w:rsidR="00042B62">
        <w:rPr>
          <w:rFonts w:ascii="Arial Narrow" w:hAnsi="Arial Narrow"/>
          <w:i/>
          <w:noProof/>
          <w:sz w:val="28"/>
          <w:szCs w:val="28"/>
          <w:lang w:val="es-ES"/>
        </w:rPr>
        <w:t>uropea, en el diseño y puesta en</w:t>
      </w:r>
      <w:r w:rsidRPr="002C075B">
        <w:rPr>
          <w:rFonts w:ascii="Arial Narrow" w:hAnsi="Arial Narrow"/>
          <w:i/>
          <w:noProof/>
          <w:sz w:val="28"/>
          <w:szCs w:val="28"/>
          <w:lang w:val="es-ES"/>
        </w:rPr>
        <w:t xml:space="preserve"> marcha de políticas que den respuesta a los desafíos demográficos”.</w:t>
      </w:r>
    </w:p>
    <w:p w:rsidR="00CE236E" w:rsidRDefault="00CE236E" w:rsidP="00BC1BAB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FD1E2F" w:rsidRDefault="00CE236E" w:rsidP="002C075B">
      <w:pPr>
        <w:pStyle w:val="Piedepgina"/>
        <w:ind w:left="2127"/>
        <w:jc w:val="both"/>
        <w:rPr>
          <w:rFonts w:ascii="Arial Narrow" w:hAnsi="Arial Narrow"/>
          <w:noProof/>
          <w:sz w:val="24"/>
          <w:szCs w:val="24"/>
          <w:u w:val="single"/>
          <w:lang w:val="es-ES"/>
        </w:rPr>
      </w:pPr>
      <w:r>
        <w:rPr>
          <w:rFonts w:ascii="Arial Narrow" w:hAnsi="Arial Narrow"/>
          <w:noProof/>
          <w:sz w:val="28"/>
          <w:szCs w:val="28"/>
          <w:lang w:val="es-ES"/>
        </w:rPr>
        <w:t>Por otro lado, la comisionada ha transmitido hoy</w:t>
      </w:r>
      <w:bookmarkStart w:id="0" w:name="_GoBack"/>
      <w:bookmarkEnd w:id="0"/>
      <w:r>
        <w:rPr>
          <w:rFonts w:ascii="Arial Narrow" w:hAnsi="Arial Narrow"/>
          <w:noProof/>
          <w:sz w:val="28"/>
          <w:szCs w:val="28"/>
          <w:lang w:val="es-ES"/>
        </w:rPr>
        <w:t xml:space="preserve"> al grupo de trabajo interministerial constituido en el Ministerio de Política Territorial y Función Pública, su compromiso de presentar la Estrategia Nacional frente al Reto Demográfico antes de la celebración de las elecciones municipales y autonómicas de mayo de 2019. </w:t>
      </w: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237B83" w:rsidRDefault="00237B83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237B83" w:rsidRDefault="00237B83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FD1E2F" w:rsidRDefault="00FD1E2F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p w:rsidR="00815408" w:rsidRPr="00FD1E2F" w:rsidRDefault="00815408" w:rsidP="00AD02FD">
      <w:pPr>
        <w:pStyle w:val="Piedepgina"/>
        <w:ind w:left="2127"/>
        <w:rPr>
          <w:rFonts w:ascii="Arial Narrow" w:hAnsi="Arial Narrow"/>
          <w:noProof/>
          <w:sz w:val="24"/>
          <w:szCs w:val="24"/>
          <w:u w:val="single"/>
          <w:lang w:val="es-ES"/>
        </w:rPr>
      </w:pPr>
    </w:p>
    <w:sectPr w:rsidR="00815408" w:rsidRPr="00FD1E2F" w:rsidSect="000E1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" w:right="1274" w:bottom="1701" w:left="346" w:header="280" w:footer="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20" w:rsidRDefault="00054120">
      <w:r>
        <w:separator/>
      </w:r>
    </w:p>
  </w:endnote>
  <w:endnote w:type="continuationSeparator" w:id="0">
    <w:p w:rsidR="00054120" w:rsidRDefault="000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B" w:rsidRDefault="00763B4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</w:t>
          </w:r>
          <w:hyperlink w:history="1">
            <w:r w:rsidR="00FD1E2F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CC94BB9" wp14:editId="116AC4DD">
                <wp:extent cx="177971" cy="184108"/>
                <wp:effectExtent l="0" t="0" r="0" b="0"/>
                <wp:docPr id="6" name="Imagen 6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480EFECB" wp14:editId="0251878B">
                <wp:extent cx="233203" cy="184107"/>
                <wp:effectExtent l="0" t="0" r="0" b="0"/>
                <wp:docPr id="7" name="Imagen 7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0CC99227" wp14:editId="2BF88D8E">
                <wp:extent cx="202518" cy="183896"/>
                <wp:effectExtent l="0" t="0" r="0" b="0"/>
                <wp:docPr id="5" name="Imagen 5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795B5192" wp14:editId="3F554C8E">
                <wp:extent cx="208655" cy="184143"/>
                <wp:effectExtent l="0" t="0" r="0" b="0"/>
                <wp:docPr id="8" name="Imagen 8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>
            <w:rPr>
              <w:rStyle w:val="Hipervnculo"/>
              <w:rFonts w:ascii="Arial Narrow" w:hAnsi="Arial Narrow"/>
              <w:b/>
              <w:sz w:val="20"/>
              <w:u w:val="none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63B45">
            <w:rPr>
              <w:sz w:val="20"/>
            </w:rPr>
            <w:fldChar w:fldCharType="separate"/>
          </w:r>
          <w:r w:rsidR="00042B62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63B45">
            <w:rPr>
              <w:sz w:val="20"/>
            </w:rPr>
            <w:fldChar w:fldCharType="separate"/>
          </w:r>
          <w:r w:rsidR="00042B62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3F17DA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63B45">
            <w:rPr>
              <w:sz w:val="20"/>
            </w:rPr>
            <w:fldChar w:fldCharType="separate"/>
          </w:r>
          <w:r w:rsidR="00042B62">
            <w:rPr>
              <w:noProof/>
              <w:sz w:val="20"/>
            </w:rPr>
            <w:t>1</w:t>
          </w:r>
          <w:r w:rsidR="00763B45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63B45">
            <w:rPr>
              <w:sz w:val="20"/>
            </w:rPr>
            <w:fldChar w:fldCharType="separate"/>
          </w:r>
          <w:r w:rsidR="00042B62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3F17DA" w:rsidRPr="003F17DA" w:rsidRDefault="00054120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="00ED53BC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BB9F14D" wp14:editId="076B0B7D">
                <wp:extent cx="177971" cy="184108"/>
                <wp:effectExtent l="0" t="0" r="0" b="0"/>
                <wp:docPr id="1" name="Imagen 1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0A47F32" wp14:editId="31B07143">
                <wp:extent cx="233203" cy="184107"/>
                <wp:effectExtent l="0" t="0" r="0" b="0"/>
                <wp:docPr id="2" name="Imagen 2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8F5F7D9" wp14:editId="6F3217DF">
                <wp:extent cx="202518" cy="183896"/>
                <wp:effectExtent l="0" t="0" r="0" b="0"/>
                <wp:docPr id="3" name="Imagen 3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6FCAB042" wp14:editId="4DD8C38B">
                <wp:extent cx="208655" cy="184143"/>
                <wp:effectExtent l="0" t="0" r="0" b="0"/>
                <wp:docPr id="4" name="Imagen 4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3F17DA" w:rsidP="00ED53BC">
    <w:pPr>
      <w:pStyle w:val="Piedepgina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20" w:rsidRDefault="00054120">
      <w:r>
        <w:separator/>
      </w:r>
    </w:p>
  </w:footnote>
  <w:footnote w:type="continuationSeparator" w:id="0">
    <w:p w:rsidR="00054120" w:rsidRDefault="0005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8C" w:rsidRDefault="002B16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190"/>
      <w:gridCol w:w="6379"/>
    </w:tblGrid>
    <w:tr w:rsidR="009971DB" w:rsidTr="000E1894">
      <w:trPr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15pt;height:59.4pt" o:ole="" fillcolor="window">
                <v:imagedata r:id="rId1" o:title=""/>
              </v:shape>
              <o:OLEObject Type="Embed" ProgID="Word.Picture.8" ShapeID="_x0000_i1025" DrawAspect="Content" ObjectID="_1599319799" r:id="rId2"/>
            </w:object>
          </w:r>
        </w:p>
      </w:tc>
      <w:tc>
        <w:tcPr>
          <w:tcW w:w="3190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9971DB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</w:tc>
      <w:tc>
        <w:tcPr>
          <w:tcW w:w="6379" w:type="dxa"/>
          <w:vAlign w:val="center"/>
        </w:tcPr>
        <w:p w:rsidR="009971DB" w:rsidRPr="000E1894" w:rsidRDefault="000E1894" w:rsidP="000E1894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noProof/>
              <w:kern w:val="16"/>
              <w:sz w:val="14"/>
            </w:rPr>
            <w:drawing>
              <wp:inline distT="0" distB="0" distL="0" distR="0" wp14:anchorId="4666C511" wp14:editId="6FA30313">
                <wp:extent cx="1196698" cy="702870"/>
                <wp:effectExtent l="0" t="0" r="3810" b="254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628" cy="7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ill Sans MT" w:hAnsi="Gill Sans MT"/>
              <w:kern w:val="16"/>
              <w:sz w:val="14"/>
            </w:rPr>
            <w:t xml:space="preserve">                                  </w:t>
          </w:r>
          <w:r w:rsidR="009971DB"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 w:rsidTr="000E1894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190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379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E1894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9D312A1"/>
    <w:multiLevelType w:val="hybridMultilevel"/>
    <w:tmpl w:val="ADEE0854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A5347FB"/>
    <w:multiLevelType w:val="hybridMultilevel"/>
    <w:tmpl w:val="3CCAA300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C601C"/>
    <w:multiLevelType w:val="hybridMultilevel"/>
    <w:tmpl w:val="DA5A60CA"/>
    <w:lvl w:ilvl="0" w:tplc="0C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2A9D09E3"/>
    <w:multiLevelType w:val="hybridMultilevel"/>
    <w:tmpl w:val="0E66C2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7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3A964480"/>
    <w:multiLevelType w:val="hybridMultilevel"/>
    <w:tmpl w:val="8E88707A"/>
    <w:lvl w:ilvl="0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19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109F0"/>
    <w:multiLevelType w:val="hybridMultilevel"/>
    <w:tmpl w:val="FC7EF144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01775EE"/>
    <w:multiLevelType w:val="hybridMultilevel"/>
    <w:tmpl w:val="E0826952"/>
    <w:lvl w:ilvl="0" w:tplc="0C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67E58BA"/>
    <w:multiLevelType w:val="hybridMultilevel"/>
    <w:tmpl w:val="4D482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F3915"/>
    <w:multiLevelType w:val="hybridMultilevel"/>
    <w:tmpl w:val="1974DA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16590"/>
    <w:multiLevelType w:val="hybridMultilevel"/>
    <w:tmpl w:val="DCFEA3E8"/>
    <w:lvl w:ilvl="0" w:tplc="3A3EA970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8B1C68"/>
    <w:multiLevelType w:val="hybridMultilevel"/>
    <w:tmpl w:val="F7E0F7EE"/>
    <w:lvl w:ilvl="0" w:tplc="9B988D58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34468"/>
    <w:multiLevelType w:val="hybridMultilevel"/>
    <w:tmpl w:val="D82A4CF4"/>
    <w:lvl w:ilvl="0" w:tplc="A0D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C6E56"/>
    <w:multiLevelType w:val="hybridMultilevel"/>
    <w:tmpl w:val="FFE238EE"/>
    <w:lvl w:ilvl="0" w:tplc="B9C08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B9C089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0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4867"/>
    <w:multiLevelType w:val="hybridMultilevel"/>
    <w:tmpl w:val="A0D20ED0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16"/>
  </w:num>
  <w:num w:numId="4">
    <w:abstractNumId w:val="42"/>
  </w:num>
  <w:num w:numId="5">
    <w:abstractNumId w:val="0"/>
  </w:num>
  <w:num w:numId="6">
    <w:abstractNumId w:val="1"/>
  </w:num>
  <w:num w:numId="7">
    <w:abstractNumId w:val="34"/>
  </w:num>
  <w:num w:numId="8">
    <w:abstractNumId w:val="8"/>
  </w:num>
  <w:num w:numId="9">
    <w:abstractNumId w:val="11"/>
  </w:num>
  <w:num w:numId="10">
    <w:abstractNumId w:val="13"/>
  </w:num>
  <w:num w:numId="11">
    <w:abstractNumId w:val="22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8"/>
  </w:num>
  <w:num w:numId="17">
    <w:abstractNumId w:val="7"/>
  </w:num>
  <w:num w:numId="18">
    <w:abstractNumId w:val="39"/>
  </w:num>
  <w:num w:numId="19">
    <w:abstractNumId w:val="14"/>
  </w:num>
  <w:num w:numId="20">
    <w:abstractNumId w:val="26"/>
  </w:num>
  <w:num w:numId="21">
    <w:abstractNumId w:val="40"/>
  </w:num>
  <w:num w:numId="22">
    <w:abstractNumId w:val="31"/>
  </w:num>
  <w:num w:numId="23">
    <w:abstractNumId w:val="25"/>
  </w:num>
  <w:num w:numId="24">
    <w:abstractNumId w:val="24"/>
  </w:num>
  <w:num w:numId="25">
    <w:abstractNumId w:val="32"/>
  </w:num>
  <w:num w:numId="26">
    <w:abstractNumId w:val="19"/>
  </w:num>
  <w:num w:numId="27">
    <w:abstractNumId w:val="33"/>
  </w:num>
  <w:num w:numId="28">
    <w:abstractNumId w:val="23"/>
  </w:num>
  <w:num w:numId="29">
    <w:abstractNumId w:val="5"/>
  </w:num>
  <w:num w:numId="30">
    <w:abstractNumId w:val="36"/>
  </w:num>
  <w:num w:numId="31">
    <w:abstractNumId w:val="4"/>
  </w:num>
  <w:num w:numId="32">
    <w:abstractNumId w:val="43"/>
  </w:num>
  <w:num w:numId="33">
    <w:abstractNumId w:val="2"/>
  </w:num>
  <w:num w:numId="34">
    <w:abstractNumId w:val="27"/>
  </w:num>
  <w:num w:numId="35">
    <w:abstractNumId w:val="30"/>
  </w:num>
  <w:num w:numId="36">
    <w:abstractNumId w:val="35"/>
  </w:num>
  <w:num w:numId="37">
    <w:abstractNumId w:val="20"/>
  </w:num>
  <w:num w:numId="38">
    <w:abstractNumId w:val="3"/>
  </w:num>
  <w:num w:numId="39">
    <w:abstractNumId w:val="41"/>
  </w:num>
  <w:num w:numId="40">
    <w:abstractNumId w:val="38"/>
  </w:num>
  <w:num w:numId="41">
    <w:abstractNumId w:val="29"/>
  </w:num>
  <w:num w:numId="42">
    <w:abstractNumId w:val="37"/>
  </w:num>
  <w:num w:numId="43">
    <w:abstractNumId w:val="21"/>
  </w:num>
  <w:num w:numId="44">
    <w:abstractNumId w:val="9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2B62"/>
    <w:rsid w:val="0005265F"/>
    <w:rsid w:val="00054120"/>
    <w:rsid w:val="00071994"/>
    <w:rsid w:val="000A7BEA"/>
    <w:rsid w:val="000C1117"/>
    <w:rsid w:val="000C7FA0"/>
    <w:rsid w:val="000D035E"/>
    <w:rsid w:val="000D1A2A"/>
    <w:rsid w:val="000E1894"/>
    <w:rsid w:val="000E1C2A"/>
    <w:rsid w:val="000E2AD6"/>
    <w:rsid w:val="000E5254"/>
    <w:rsid w:val="000E65B4"/>
    <w:rsid w:val="000F15DD"/>
    <w:rsid w:val="000F5289"/>
    <w:rsid w:val="00103EB4"/>
    <w:rsid w:val="00110187"/>
    <w:rsid w:val="00120E2A"/>
    <w:rsid w:val="00134A12"/>
    <w:rsid w:val="001350C5"/>
    <w:rsid w:val="00145927"/>
    <w:rsid w:val="00153EFF"/>
    <w:rsid w:val="00161367"/>
    <w:rsid w:val="001630B7"/>
    <w:rsid w:val="00170DB9"/>
    <w:rsid w:val="001778F0"/>
    <w:rsid w:val="0019632B"/>
    <w:rsid w:val="001964EB"/>
    <w:rsid w:val="001A1444"/>
    <w:rsid w:val="001A1C25"/>
    <w:rsid w:val="001A33CB"/>
    <w:rsid w:val="001A4BA9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6ABF"/>
    <w:rsid w:val="001F765D"/>
    <w:rsid w:val="00201309"/>
    <w:rsid w:val="002024A4"/>
    <w:rsid w:val="00207791"/>
    <w:rsid w:val="0021516E"/>
    <w:rsid w:val="002161E5"/>
    <w:rsid w:val="00223E48"/>
    <w:rsid w:val="00224944"/>
    <w:rsid w:val="0023679A"/>
    <w:rsid w:val="00236989"/>
    <w:rsid w:val="00237B83"/>
    <w:rsid w:val="002412DD"/>
    <w:rsid w:val="002421FC"/>
    <w:rsid w:val="00244954"/>
    <w:rsid w:val="00247E66"/>
    <w:rsid w:val="00253C21"/>
    <w:rsid w:val="00256ECC"/>
    <w:rsid w:val="00261E77"/>
    <w:rsid w:val="00261F78"/>
    <w:rsid w:val="00263A9E"/>
    <w:rsid w:val="00281B2E"/>
    <w:rsid w:val="002A2626"/>
    <w:rsid w:val="002A27E8"/>
    <w:rsid w:val="002A319D"/>
    <w:rsid w:val="002A551E"/>
    <w:rsid w:val="002A78E2"/>
    <w:rsid w:val="002B168C"/>
    <w:rsid w:val="002B5A20"/>
    <w:rsid w:val="002C075B"/>
    <w:rsid w:val="002C29D7"/>
    <w:rsid w:val="002C4EFC"/>
    <w:rsid w:val="002D7820"/>
    <w:rsid w:val="002E1107"/>
    <w:rsid w:val="002E1B57"/>
    <w:rsid w:val="002E7C5F"/>
    <w:rsid w:val="002F0AE6"/>
    <w:rsid w:val="002F3004"/>
    <w:rsid w:val="002F42A1"/>
    <w:rsid w:val="002F5D46"/>
    <w:rsid w:val="003020F4"/>
    <w:rsid w:val="00302E3F"/>
    <w:rsid w:val="00303462"/>
    <w:rsid w:val="00314359"/>
    <w:rsid w:val="00315D16"/>
    <w:rsid w:val="00322582"/>
    <w:rsid w:val="003326BE"/>
    <w:rsid w:val="003424DA"/>
    <w:rsid w:val="00353F88"/>
    <w:rsid w:val="003708A9"/>
    <w:rsid w:val="00374331"/>
    <w:rsid w:val="00391C0A"/>
    <w:rsid w:val="003A0090"/>
    <w:rsid w:val="003A06DC"/>
    <w:rsid w:val="003C3F4F"/>
    <w:rsid w:val="003D266E"/>
    <w:rsid w:val="003E1C05"/>
    <w:rsid w:val="003E1CD6"/>
    <w:rsid w:val="003F17DA"/>
    <w:rsid w:val="003F6CF4"/>
    <w:rsid w:val="004016BA"/>
    <w:rsid w:val="004116F6"/>
    <w:rsid w:val="00412903"/>
    <w:rsid w:val="0041731A"/>
    <w:rsid w:val="00420E22"/>
    <w:rsid w:val="00421BEA"/>
    <w:rsid w:val="00440100"/>
    <w:rsid w:val="0044337F"/>
    <w:rsid w:val="0044391D"/>
    <w:rsid w:val="00455516"/>
    <w:rsid w:val="004656EE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F65C9"/>
    <w:rsid w:val="00500E8F"/>
    <w:rsid w:val="00521BEC"/>
    <w:rsid w:val="005343E9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1E01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1F6"/>
    <w:rsid w:val="00624D9C"/>
    <w:rsid w:val="00624DC5"/>
    <w:rsid w:val="00637899"/>
    <w:rsid w:val="00653C74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F0529"/>
    <w:rsid w:val="0070663F"/>
    <w:rsid w:val="00715BA4"/>
    <w:rsid w:val="00722701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3B45"/>
    <w:rsid w:val="00767109"/>
    <w:rsid w:val="00774547"/>
    <w:rsid w:val="00777DAA"/>
    <w:rsid w:val="007807F8"/>
    <w:rsid w:val="00782060"/>
    <w:rsid w:val="00795D69"/>
    <w:rsid w:val="007A5AFB"/>
    <w:rsid w:val="007B0F92"/>
    <w:rsid w:val="007C45EB"/>
    <w:rsid w:val="007D324F"/>
    <w:rsid w:val="007D35ED"/>
    <w:rsid w:val="007D7E37"/>
    <w:rsid w:val="007D7FB0"/>
    <w:rsid w:val="007E253A"/>
    <w:rsid w:val="007F1FC8"/>
    <w:rsid w:val="007F3868"/>
    <w:rsid w:val="00806593"/>
    <w:rsid w:val="00810BF1"/>
    <w:rsid w:val="00813F4A"/>
    <w:rsid w:val="00814F1E"/>
    <w:rsid w:val="00815408"/>
    <w:rsid w:val="00817FFE"/>
    <w:rsid w:val="00820F6F"/>
    <w:rsid w:val="00837217"/>
    <w:rsid w:val="00837699"/>
    <w:rsid w:val="00846B86"/>
    <w:rsid w:val="0085155F"/>
    <w:rsid w:val="00861B9B"/>
    <w:rsid w:val="00870FC2"/>
    <w:rsid w:val="00873C47"/>
    <w:rsid w:val="008833B2"/>
    <w:rsid w:val="0089127E"/>
    <w:rsid w:val="008A5360"/>
    <w:rsid w:val="008A68DE"/>
    <w:rsid w:val="008B4634"/>
    <w:rsid w:val="008B4788"/>
    <w:rsid w:val="008B6A31"/>
    <w:rsid w:val="008E5658"/>
    <w:rsid w:val="008F3950"/>
    <w:rsid w:val="00901A78"/>
    <w:rsid w:val="009103C6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950E6"/>
    <w:rsid w:val="009971DB"/>
    <w:rsid w:val="009A382B"/>
    <w:rsid w:val="009C1BBD"/>
    <w:rsid w:val="009C6577"/>
    <w:rsid w:val="009E4934"/>
    <w:rsid w:val="00A03410"/>
    <w:rsid w:val="00A0758E"/>
    <w:rsid w:val="00A156D6"/>
    <w:rsid w:val="00A15B16"/>
    <w:rsid w:val="00A2343D"/>
    <w:rsid w:val="00A3004D"/>
    <w:rsid w:val="00A567E7"/>
    <w:rsid w:val="00A65ADD"/>
    <w:rsid w:val="00A6664C"/>
    <w:rsid w:val="00A80EEE"/>
    <w:rsid w:val="00A92799"/>
    <w:rsid w:val="00AA37F8"/>
    <w:rsid w:val="00AB566B"/>
    <w:rsid w:val="00AB72EA"/>
    <w:rsid w:val="00AD02FD"/>
    <w:rsid w:val="00AF6685"/>
    <w:rsid w:val="00B107C7"/>
    <w:rsid w:val="00B16649"/>
    <w:rsid w:val="00B4057B"/>
    <w:rsid w:val="00B50FF9"/>
    <w:rsid w:val="00B51910"/>
    <w:rsid w:val="00B530E9"/>
    <w:rsid w:val="00B53B25"/>
    <w:rsid w:val="00B615B5"/>
    <w:rsid w:val="00B71CF5"/>
    <w:rsid w:val="00B7502E"/>
    <w:rsid w:val="00B81427"/>
    <w:rsid w:val="00B81B0B"/>
    <w:rsid w:val="00B865C2"/>
    <w:rsid w:val="00B86B3D"/>
    <w:rsid w:val="00BA2961"/>
    <w:rsid w:val="00BB55D9"/>
    <w:rsid w:val="00BC1BAB"/>
    <w:rsid w:val="00BC5471"/>
    <w:rsid w:val="00BC5D55"/>
    <w:rsid w:val="00BE3384"/>
    <w:rsid w:val="00BF03E5"/>
    <w:rsid w:val="00BF1296"/>
    <w:rsid w:val="00C0137C"/>
    <w:rsid w:val="00C0256E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4C42"/>
    <w:rsid w:val="00C6591F"/>
    <w:rsid w:val="00C73A7A"/>
    <w:rsid w:val="00C73EF2"/>
    <w:rsid w:val="00C9522E"/>
    <w:rsid w:val="00CB149A"/>
    <w:rsid w:val="00CC359B"/>
    <w:rsid w:val="00CD4CC5"/>
    <w:rsid w:val="00CE236E"/>
    <w:rsid w:val="00CF609F"/>
    <w:rsid w:val="00D00764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3488"/>
    <w:rsid w:val="00DE7D66"/>
    <w:rsid w:val="00E03EDC"/>
    <w:rsid w:val="00E13ED6"/>
    <w:rsid w:val="00E2208F"/>
    <w:rsid w:val="00E223D2"/>
    <w:rsid w:val="00E22EBF"/>
    <w:rsid w:val="00E23CFE"/>
    <w:rsid w:val="00E33B3F"/>
    <w:rsid w:val="00E43FFF"/>
    <w:rsid w:val="00E539DA"/>
    <w:rsid w:val="00E551C0"/>
    <w:rsid w:val="00E5698C"/>
    <w:rsid w:val="00E64686"/>
    <w:rsid w:val="00E66000"/>
    <w:rsid w:val="00E672AA"/>
    <w:rsid w:val="00E6774F"/>
    <w:rsid w:val="00E71AAF"/>
    <w:rsid w:val="00E7681C"/>
    <w:rsid w:val="00E76BF4"/>
    <w:rsid w:val="00E80573"/>
    <w:rsid w:val="00E90278"/>
    <w:rsid w:val="00E917F9"/>
    <w:rsid w:val="00EA6868"/>
    <w:rsid w:val="00EB0BCB"/>
    <w:rsid w:val="00EB36D9"/>
    <w:rsid w:val="00EB638A"/>
    <w:rsid w:val="00ED53BC"/>
    <w:rsid w:val="00ED68AD"/>
    <w:rsid w:val="00EE2F42"/>
    <w:rsid w:val="00EE6407"/>
    <w:rsid w:val="00EF11D7"/>
    <w:rsid w:val="00F00EDD"/>
    <w:rsid w:val="00F01114"/>
    <w:rsid w:val="00F0286A"/>
    <w:rsid w:val="00F4155E"/>
    <w:rsid w:val="00F54ED2"/>
    <w:rsid w:val="00F64C3B"/>
    <w:rsid w:val="00F66E74"/>
    <w:rsid w:val="00F738DA"/>
    <w:rsid w:val="00F8022F"/>
    <w:rsid w:val="00F95F9A"/>
    <w:rsid w:val="00F96EF7"/>
    <w:rsid w:val="00FA7585"/>
    <w:rsid w:val="00FB13FB"/>
    <w:rsid w:val="00FD1E2F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00B5-5069-4D6E-AF17-8D35CE0A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2618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ISAURA LEAL FERNANDEZ</cp:lastModifiedBy>
  <cp:revision>2</cp:revision>
  <cp:lastPrinted>2018-07-23T06:58:00Z</cp:lastPrinted>
  <dcterms:created xsi:type="dcterms:W3CDTF">2018-09-24T16:44:00Z</dcterms:created>
  <dcterms:modified xsi:type="dcterms:W3CDTF">2018-09-24T16:44:00Z</dcterms:modified>
</cp:coreProperties>
</file>